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50F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 南昌市东湖区市场监督管理局2025年工作总结及</w:t>
      </w:r>
      <w:r>
        <w:rPr>
          <w:rFonts w:hint="eastAsia" w:ascii="方正小标宋简体" w:hAnsi="方正小标宋简体" w:eastAsia="方正小标宋简体" w:cs="方正小标宋简体"/>
          <w:sz w:val="44"/>
          <w:szCs w:val="44"/>
          <w:lang w:val="en-US" w:eastAsia="zh-CN"/>
        </w:rPr>
        <w:t>2026</w:t>
      </w:r>
      <w:bookmarkStart w:id="0" w:name="_GoBack"/>
      <w:bookmarkEnd w:id="0"/>
      <w:r>
        <w:rPr>
          <w:rFonts w:hint="eastAsia" w:ascii="方正小标宋简体" w:hAnsi="方正小标宋简体" w:eastAsia="方正小标宋简体" w:cs="方正小标宋简体"/>
          <w:sz w:val="44"/>
          <w:szCs w:val="44"/>
        </w:rPr>
        <w:t>年工作计划</w:t>
      </w:r>
    </w:p>
    <w:p w14:paraId="50D350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533E3C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2025年，南昌市东湖区市场监督管理局在区委、区政府的</w:t>
      </w:r>
      <w:r>
        <w:rPr>
          <w:rFonts w:hint="eastAsia" w:ascii="仿宋_GB2312" w:hAnsi="仿宋_GB2312" w:eastAsia="仿宋_GB2312" w:cs="仿宋_GB2312"/>
          <w:sz w:val="32"/>
          <w:szCs w:val="32"/>
          <w:lang w:val="en-US" w:eastAsia="zh-CN"/>
        </w:rPr>
        <w:t>正确</w:t>
      </w:r>
      <w:r>
        <w:rPr>
          <w:rFonts w:hint="eastAsia" w:ascii="仿宋_GB2312" w:hAnsi="仿宋_GB2312" w:eastAsia="仿宋_GB2312" w:cs="仿宋_GB2312"/>
          <w:sz w:val="32"/>
          <w:szCs w:val="32"/>
        </w:rPr>
        <w:t>领导下，认真贯彻落实国家、省、市关于市场监管工作的决策部署，积极响应上级部门开展的各项专项行动和工作任务。深入学习领会习近平总书记关于市场监管工作的重要指示精神，将保障人民群众饮食用药安全、维护公平竞争的市场秩序、促进市场主体健康发展作为工作的出发点和落脚点，持续推进“放管服”改革，</w:t>
      </w:r>
      <w:r>
        <w:rPr>
          <w:rFonts w:hint="eastAsia" w:ascii="仿宋_GB2312" w:hAnsi="仿宋_GB2312" w:eastAsia="仿宋_GB2312" w:cs="仿宋_GB2312"/>
          <w:sz w:val="32"/>
          <w:szCs w:val="32"/>
          <w:lang w:val="en-US" w:eastAsia="zh-CN"/>
        </w:rPr>
        <w:t>不断</w:t>
      </w:r>
      <w:r>
        <w:rPr>
          <w:rFonts w:hint="eastAsia" w:ascii="仿宋_GB2312" w:hAnsi="仿宋_GB2312" w:eastAsia="仿宋_GB2312" w:cs="仿宋_GB2312"/>
          <w:sz w:val="32"/>
          <w:szCs w:val="32"/>
        </w:rPr>
        <w:t>优化营商环境，加强事中事后监管，严守“四大安全”底线。现将工作情况汇报如下：</w:t>
      </w:r>
    </w:p>
    <w:p w14:paraId="2E605D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2025年以来取得的工作成绩</w:t>
      </w:r>
    </w:p>
    <w:p w14:paraId="100FF8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（一）优化营商环境，激发市场主体活力</w:t>
      </w:r>
    </w:p>
    <w:p w14:paraId="34C911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1.登记注册便利化</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深入推进“一网通办”“一窗受理”改革，全年累计办理行政许可事项33358件，有效激发市场活力。截至年末，全区</w:t>
      </w:r>
      <w:r>
        <w:rPr>
          <w:rFonts w:hint="eastAsia" w:ascii="仿宋_GB2312" w:hAnsi="仿宋_GB2312" w:eastAsia="仿宋_GB2312" w:cs="仿宋_GB2312"/>
          <w:sz w:val="32"/>
          <w:szCs w:val="32"/>
          <w:lang w:val="en-US" w:eastAsia="zh-CN"/>
        </w:rPr>
        <w:t>存量区属企业</w:t>
      </w:r>
      <w:r>
        <w:rPr>
          <w:rFonts w:hint="eastAsia" w:ascii="仿宋_GB2312" w:hAnsi="仿宋_GB2312" w:eastAsia="仿宋_GB2312" w:cs="仿宋_GB2312"/>
          <w:sz w:val="32"/>
          <w:szCs w:val="32"/>
          <w:lang w:eastAsia="zh-CN"/>
        </w:rPr>
        <w:t>13456户、个体工商户28945户、农民专业合作社96户。全年完成企业设立登记1526户，变更登记3338户，迁移及注销登记2508户；办理股权出质与备案登记500户，支持</w:t>
      </w:r>
      <w:r>
        <w:rPr>
          <w:rFonts w:hint="eastAsia" w:ascii="仿宋_GB2312" w:hAnsi="仿宋_GB2312" w:eastAsia="仿宋_GB2312" w:cs="仿宋_GB2312"/>
          <w:sz w:val="32"/>
          <w:szCs w:val="32"/>
          <w:lang w:val="en-US" w:eastAsia="zh-CN"/>
        </w:rPr>
        <w:t>了企业结构调整与资本运作</w:t>
      </w:r>
      <w:r>
        <w:rPr>
          <w:rFonts w:hint="eastAsia" w:ascii="仿宋_GB2312" w:hAnsi="仿宋_GB2312" w:eastAsia="仿宋_GB2312" w:cs="仿宋_GB2312"/>
          <w:sz w:val="32"/>
          <w:szCs w:val="32"/>
          <w:lang w:eastAsia="zh-CN"/>
        </w:rPr>
        <w:t>。完成特种设备注册登记11637台、信息变更501台。核发食品经营许可573户，办理“三小”业态登记1690户，保障食品安全。办理个体工商户开业、变更及注销登记11085户；推动“个升企”32家，其中“企升规”2家</w:t>
      </w:r>
      <w:r>
        <w:rPr>
          <w:rFonts w:hint="eastAsia" w:ascii="仿宋_GB2312" w:hAnsi="仿宋_GB2312" w:eastAsia="仿宋_GB2312" w:cs="仿宋_GB2312"/>
          <w:sz w:val="32"/>
          <w:szCs w:val="32"/>
          <w:lang w:val="en-US" w:eastAsia="zh-CN"/>
        </w:rPr>
        <w:t>（南昌市德丝食品有限公司、南昌云一栖酒店有限公司）</w:t>
      </w:r>
      <w:r>
        <w:rPr>
          <w:rFonts w:hint="eastAsia" w:ascii="仿宋_GB2312" w:hAnsi="仿宋_GB2312" w:eastAsia="仿宋_GB2312" w:cs="仿宋_GB2312"/>
          <w:sz w:val="32"/>
          <w:szCs w:val="32"/>
          <w:lang w:eastAsia="zh-CN"/>
        </w:rPr>
        <w:t>，促进餐饮业规范化、规模化发展。完成名称违规排查，对涉及宗教禁用字词的160户市场主体进行筛查，并对确认违规的16户依法分类处置（</w:t>
      </w:r>
      <w:r>
        <w:rPr>
          <w:rFonts w:hint="eastAsia" w:ascii="仿宋_GB2312" w:hAnsi="仿宋_GB2312" w:eastAsia="仿宋_GB2312" w:cs="仿宋_GB2312"/>
          <w:sz w:val="32"/>
          <w:szCs w:val="32"/>
          <w:lang w:val="en-US" w:eastAsia="zh-CN"/>
        </w:rPr>
        <w:t>个体工商户已变更5家，已注销2家，列异4家；企业已变更1家，其他4家交由信用监管部门进行处置中</w:t>
      </w:r>
      <w:r>
        <w:rPr>
          <w:rFonts w:hint="eastAsia" w:ascii="仿宋_GB2312" w:hAnsi="仿宋_GB2312" w:eastAsia="仿宋_GB2312" w:cs="仿宋_GB2312"/>
          <w:sz w:val="32"/>
          <w:szCs w:val="32"/>
          <w:lang w:eastAsia="zh-CN"/>
        </w:rPr>
        <w:t>）。</w:t>
      </w:r>
    </w:p>
    <w:p w14:paraId="0DC8B0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2.扶持政策落实</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为贯彻落实市场监管总局关于推进个体工商户分型分类精准帮扶工作的部署，推动个体工商户高质量发展，根据《南昌市开展个体工商户分型分类精准帮扶提升发展质量的工作方案》文件精神，经个人申请、单位推荐、走访核实、征求意见等程序，我局推荐并公示了南昌市东湖区绿之源食材配送商行等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家 “名特优新”个体工商户。</w:t>
      </w:r>
    </w:p>
    <w:p w14:paraId="1034726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3.深化信用监管应用。</w:t>
      </w:r>
      <w:r>
        <w:rPr>
          <w:rFonts w:hint="eastAsia" w:ascii="仿宋_GB2312" w:hAnsi="仿宋_GB2312" w:eastAsia="仿宋_GB2312" w:cs="仿宋_GB2312"/>
          <w:sz w:val="32"/>
          <w:szCs w:val="32"/>
          <w:lang w:val="en-US" w:eastAsia="zh-CN"/>
        </w:rPr>
        <w:t>依托国家企业信用信息公示系统，对市场主体根据信用风险状况，建立信用风险抽查检查对象库，为监管提供基础支撑，并及时归集涉企信用信息，为企业信用风险等级动态更新提供数据支持。对符合信用修复条件的市场主体，及时作出同意修复的决定，并在规定时间内将修复信息录入国家企业信用信息公示系统。2025年，共移出企业经营异常名录98户，</w:t>
      </w:r>
      <w:r>
        <w:rPr>
          <w:rFonts w:hint="eastAsia" w:ascii="仿宋_GB2312" w:hAnsi="仿宋_GB2312" w:eastAsia="仿宋_GB2312" w:cs="仿宋_GB2312"/>
          <w:kern w:val="0"/>
          <w:sz w:val="32"/>
          <w:szCs w:val="32"/>
          <w:lang w:val="en-US" w:eastAsia="zh-CN" w:bidi="ar"/>
        </w:rPr>
        <w:t>受理</w:t>
      </w:r>
      <w:r>
        <w:rPr>
          <w:rFonts w:hint="eastAsia" w:ascii="仿宋_GB2312" w:hAnsi="仿宋_GB2312" w:eastAsia="仿宋_GB2312" w:cs="仿宋_GB2312"/>
          <w:sz w:val="32"/>
          <w:szCs w:val="32"/>
          <w:lang w:eastAsia="zh-CN"/>
        </w:rPr>
        <w:t>行政处罚信息信用修复</w:t>
      </w:r>
      <w:r>
        <w:rPr>
          <w:rFonts w:hint="eastAsia" w:ascii="仿宋_GB2312" w:hAnsi="仿宋_GB2312" w:eastAsia="仿宋_GB2312" w:cs="仿宋_GB2312"/>
          <w:kern w:val="0"/>
          <w:sz w:val="32"/>
          <w:szCs w:val="32"/>
          <w:lang w:val="en-US" w:eastAsia="zh-CN" w:bidi="ar"/>
        </w:rPr>
        <w:t>4件。</w:t>
      </w:r>
    </w:p>
    <w:p w14:paraId="7F0292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4.强化公平竞争审查。</w:t>
      </w:r>
      <w:r>
        <w:rPr>
          <w:rFonts w:hint="eastAsia" w:ascii="仿宋_GB2312" w:hAnsi="仿宋_GB2312" w:eastAsia="仿宋_GB2312" w:cs="仿宋_GB2312"/>
          <w:sz w:val="32"/>
          <w:szCs w:val="32"/>
          <w:lang w:val="en-US" w:eastAsia="zh-CN"/>
        </w:rPr>
        <w:t>按照“谁出台、谁清理”的原则，组织各成员单位持续开展妨碍统一市场和公平竞争的政策措施清理工作，</w:t>
      </w:r>
      <w:r>
        <w:rPr>
          <w:rFonts w:hint="eastAsia" w:ascii="仿宋_GB2312" w:hAnsi="仿宋_GB2312" w:eastAsia="仿宋_GB2312" w:cs="仿宋_GB2312"/>
          <w:b w:val="0"/>
          <w:bCs w:val="0"/>
          <w:sz w:val="32"/>
          <w:szCs w:val="32"/>
          <w:lang w:val="en-US" w:eastAsia="zh-CN"/>
        </w:rPr>
        <w:t>并</w:t>
      </w:r>
      <w:r>
        <w:rPr>
          <w:rFonts w:hint="eastAsia" w:ascii="仿宋_GB2312" w:hAnsi="仿宋_GB2312" w:eastAsia="仿宋_GB2312" w:cs="仿宋_GB2312"/>
          <w:sz w:val="32"/>
          <w:szCs w:val="32"/>
          <w:lang w:val="en-US" w:eastAsia="zh-CN"/>
        </w:rPr>
        <w:t>督促各政策制定机关严格落实《公平竞争审查条例》，遵循“谁制定、谁审查”的原则，在政策起草制定过程中严格履行自我审查程序，且按照《公平竞争审查条例》规定执行会同审查制度,</w:t>
      </w:r>
      <w:r>
        <w:rPr>
          <w:rFonts w:hint="eastAsia" w:ascii="仿宋_GB2312" w:hAnsi="仿宋_GB2312" w:eastAsia="仿宋_GB2312" w:cs="仿宋_GB2312"/>
          <w:color w:val="auto"/>
          <w:sz w:val="32"/>
          <w:szCs w:val="32"/>
          <w:lang w:val="en-US" w:eastAsia="zh-CN"/>
        </w:rPr>
        <w:t>2025年会同审查文件4份，废止和修改存量措施文件7份。</w:t>
      </w:r>
      <w:r>
        <w:rPr>
          <w:rFonts w:hint="eastAsia" w:ascii="仿宋_GB2312" w:hAnsi="仿宋_GB2312" w:eastAsia="仿宋_GB2312" w:cs="仿宋_GB2312"/>
          <w:b w:val="0"/>
          <w:bCs w:val="0"/>
          <w:sz w:val="32"/>
          <w:szCs w:val="32"/>
          <w:lang w:val="en-US" w:eastAsia="zh-CN"/>
        </w:rPr>
        <w:t>同时，</w:t>
      </w:r>
      <w:r>
        <w:rPr>
          <w:rFonts w:hint="eastAsia" w:ascii="仿宋_GB2312" w:hAnsi="仿宋_GB2312" w:eastAsia="仿宋_GB2312" w:cs="仿宋_GB2312"/>
          <w:sz w:val="32"/>
          <w:szCs w:val="32"/>
          <w:lang w:val="en-US" w:eastAsia="zh-CN"/>
        </w:rPr>
        <w:t>认真落实《东湖区公平竞争审查投诉举报受理回应机制》，畅通投诉举报渠道，规范处理流程，及时回应社会关切。截至目前，我区未收到相关投诉举报。</w:t>
      </w:r>
    </w:p>
    <w:p w14:paraId="288842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（二）严守安全底线，强化市场监管执法</w:t>
      </w:r>
    </w:p>
    <w:p w14:paraId="727D11C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1.食品安全监管</w:t>
      </w:r>
      <w:r>
        <w:rPr>
          <w:rFonts w:hint="eastAsia" w:ascii="仿宋_GB2312" w:hAnsi="仿宋_GB2312" w:eastAsia="仿宋_GB2312" w:cs="仿宋_GB2312"/>
          <w:b/>
          <w:bCs/>
          <w:sz w:val="32"/>
          <w:szCs w:val="32"/>
          <w:lang w:val="en-US" w:eastAsia="zh-CN"/>
        </w:rPr>
        <w:t>方面。</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了特供酒、“</w:t>
      </w:r>
      <w:r>
        <w:rPr>
          <w:rFonts w:hint="eastAsia" w:ascii="仿宋_GB2312" w:hAnsi="仿宋_GB2312" w:eastAsia="仿宋_GB2312" w:cs="仿宋_GB2312"/>
          <w:sz w:val="32"/>
          <w:szCs w:val="32"/>
          <w:lang w:val="en-US" w:eastAsia="zh-CN"/>
        </w:rPr>
        <w:t>7条鱼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制售假劣肉制品</w:t>
      </w:r>
      <w:r>
        <w:rPr>
          <w:rFonts w:hint="eastAsia" w:ascii="仿宋_GB2312" w:hAnsi="仿宋_GB2312" w:eastAsia="仿宋_GB2312" w:cs="仿宋_GB2312"/>
          <w:sz w:val="32"/>
          <w:szCs w:val="32"/>
          <w:lang w:eastAsia="zh-CN"/>
        </w:rPr>
        <w:t>、血豆腐、</w:t>
      </w:r>
      <w:r>
        <w:rPr>
          <w:rFonts w:hint="eastAsia" w:ascii="仿宋_GB2312" w:hAnsi="仿宋_GB2312" w:eastAsia="仿宋_GB2312" w:cs="仿宋_GB2312"/>
          <w:sz w:val="32"/>
          <w:szCs w:val="32"/>
        </w:rPr>
        <w:t>冷（冻）库贮存冷链食品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农村地区假冒伪劣食品</w:t>
      </w:r>
      <w:r>
        <w:rPr>
          <w:rFonts w:hint="eastAsia" w:ascii="仿宋_GB2312" w:hAnsi="仿宋_GB2312" w:eastAsia="仿宋_GB2312" w:cs="仿宋_GB2312"/>
          <w:sz w:val="32"/>
          <w:szCs w:val="32"/>
          <w:lang w:eastAsia="zh-CN"/>
        </w:rPr>
        <w:t>、食用植物油</w:t>
      </w:r>
      <w:r>
        <w:rPr>
          <w:rFonts w:hint="eastAsia" w:ascii="仿宋_GB2312" w:hAnsi="仿宋_GB2312" w:eastAsia="仿宋_GB2312" w:cs="仿宋_GB2312"/>
          <w:sz w:val="32"/>
          <w:szCs w:val="32"/>
        </w:rPr>
        <w:t>质量安全</w:t>
      </w:r>
      <w:r>
        <w:rPr>
          <w:rFonts w:hint="eastAsia" w:ascii="仿宋_GB2312" w:hAnsi="仿宋_GB2312" w:eastAsia="仿宋_GB2312" w:cs="仿宋_GB2312"/>
          <w:sz w:val="32"/>
          <w:szCs w:val="32"/>
          <w:lang w:eastAsia="zh-CN"/>
        </w:rPr>
        <w:t>等专项</w:t>
      </w:r>
      <w:r>
        <w:rPr>
          <w:rFonts w:hint="eastAsia" w:ascii="仿宋_GB2312" w:hAnsi="仿宋_GB2312" w:eastAsia="仿宋_GB2312" w:cs="仿宋_GB2312"/>
          <w:sz w:val="32"/>
          <w:szCs w:val="32"/>
        </w:rPr>
        <w:t>整治</w:t>
      </w:r>
      <w:r>
        <w:rPr>
          <w:rFonts w:hint="eastAsia" w:ascii="仿宋_GB2312" w:hAnsi="仿宋_GB2312" w:eastAsia="仿宋_GB2312" w:cs="仿宋_GB2312"/>
          <w:sz w:val="32"/>
          <w:szCs w:val="32"/>
          <w:lang w:eastAsia="zh-CN"/>
        </w:rPr>
        <w:t>，对全区383家大中型餐饮及学校、机关单位食堂实现全覆盖检查。依托外卖平台数据，对1360家入网餐饮户进行全面排查，</w:t>
      </w:r>
      <w:r>
        <w:rPr>
          <w:rFonts w:hint="eastAsia" w:ascii="仿宋_GB2312" w:hAnsi="仿宋_GB2312" w:eastAsia="仿宋_GB2312" w:cs="仿宋_GB2312"/>
          <w:sz w:val="32"/>
          <w:szCs w:val="32"/>
        </w:rPr>
        <w:t>截</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目前，共出动执法人员784人次，检查外卖商户392家，发现并整改问题隐患111处，摸排出已关门停业的外卖商户80家，均已通过市局督促平台作了下线处理。</w:t>
      </w:r>
    </w:p>
    <w:p w14:paraId="60BAC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大力推进“互联网+明厨亮灶”建设，</w:t>
      </w:r>
      <w:r>
        <w:rPr>
          <w:rFonts w:hint="eastAsia" w:ascii="仿宋_GB2312" w:hAnsi="仿宋_GB2312" w:eastAsia="仿宋_GB2312" w:cs="仿宋_GB2312"/>
          <w:sz w:val="32"/>
          <w:szCs w:val="32"/>
          <w:lang w:val="en-US" w:eastAsia="zh-CN"/>
        </w:rPr>
        <w:t>先后</w:t>
      </w:r>
      <w:r>
        <w:rPr>
          <w:rFonts w:hint="eastAsia" w:ascii="仿宋_GB2312" w:hAnsi="仿宋_GB2312" w:eastAsia="仿宋_GB2312" w:cs="仿宋_GB2312"/>
          <w:sz w:val="32"/>
          <w:szCs w:val="32"/>
        </w:rPr>
        <w:t>召开2次宣讲会，引导40户外卖商户接入美团平台。全区728家持证餐饮单位（不含小餐饮）中，534家已实现“明厨亮灶”，覆盖率73.4%。其中：65家校园食堂“互联网+明厨亮灶”覆盖率100%；39家300㎡以上大中型餐饮店完成37家，覆盖率94.9%；6家用餐300人以上医疗养老机构食堂完成4家，覆盖率66.7%，超额完成市局</w:t>
      </w:r>
      <w:r>
        <w:rPr>
          <w:rFonts w:hint="eastAsia" w:ascii="仿宋_GB2312" w:hAnsi="仿宋_GB2312" w:eastAsia="仿宋_GB2312" w:cs="仿宋_GB2312"/>
          <w:sz w:val="32"/>
          <w:szCs w:val="32"/>
          <w:lang w:val="en-US" w:eastAsia="zh-CN"/>
        </w:rPr>
        <w:t>任务</w:t>
      </w:r>
      <w:r>
        <w:rPr>
          <w:rFonts w:hint="eastAsia" w:ascii="仿宋_GB2312" w:hAnsi="仿宋_GB2312" w:eastAsia="仿宋_GB2312" w:cs="仿宋_GB2312"/>
          <w:sz w:val="32"/>
          <w:szCs w:val="32"/>
        </w:rPr>
        <w:t>指标。</w:t>
      </w:r>
    </w:p>
    <w:p w14:paraId="39634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woUserID w:val="1"/>
        </w:rPr>
      </w:pPr>
      <w:r>
        <w:rPr>
          <w:rFonts w:hint="eastAsia" w:ascii="仿宋_GB2312" w:hAnsi="仿宋_GB2312" w:eastAsia="仿宋_GB2312" w:cs="仿宋_GB2312"/>
          <w:sz w:val="32"/>
          <w:szCs w:val="32"/>
        </w:rPr>
        <w:t>同时，积极推进“互联网+AI监管”，已引导</w:t>
      </w:r>
      <w:r>
        <w:rPr>
          <w:rFonts w:hint="eastAsia" w:ascii="仿宋_GB2312" w:hAnsi="仿宋_GB2312" w:eastAsia="仿宋_GB2312" w:cs="仿宋_GB2312"/>
          <w:sz w:val="32"/>
          <w:szCs w:val="32"/>
          <w:lang w:val="en-US" w:eastAsia="zh-CN"/>
        </w:rPr>
        <w:t>鼓励</w:t>
      </w:r>
      <w:r>
        <w:rPr>
          <w:rFonts w:hint="eastAsia" w:ascii="仿宋_GB2312" w:hAnsi="仿宋_GB2312" w:eastAsia="仿宋_GB2312" w:cs="仿宋_GB2312"/>
          <w:sz w:val="32"/>
          <w:szCs w:val="32"/>
        </w:rPr>
        <w:t>481户</w:t>
      </w:r>
      <w:r>
        <w:rPr>
          <w:rFonts w:hint="eastAsia" w:ascii="仿宋_GB2312" w:hAnsi="仿宋_GB2312" w:eastAsia="仿宋_GB2312" w:cs="仿宋_GB2312"/>
          <w:sz w:val="32"/>
          <w:szCs w:val="32"/>
          <w:lang w:val="en-US" w:eastAsia="zh-CN"/>
        </w:rPr>
        <w:t>（不</w:t>
      </w:r>
      <w:r>
        <w:rPr>
          <w:rFonts w:hint="eastAsia" w:ascii="仿宋_GB2312" w:hAnsi="仿宋_GB2312" w:eastAsia="仿宋_GB2312" w:cs="仿宋_GB2312"/>
          <w:sz w:val="32"/>
          <w:szCs w:val="32"/>
          <w:lang w:eastAsia="zh-CN"/>
        </w:rPr>
        <w:t>含校园食堂明厨亮灶</w:t>
      </w:r>
      <w:r>
        <w:rPr>
          <w:rFonts w:hint="eastAsia" w:ascii="仿宋_GB2312" w:hAnsi="仿宋_GB2312" w:eastAsia="仿宋_GB2312" w:cs="仿宋_GB2312"/>
          <w:sz w:val="32"/>
          <w:szCs w:val="32"/>
          <w:lang w:val="en-US" w:eastAsia="zh-CN"/>
        </w:rPr>
        <w:t>62户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食品生产经营单位安装智能摄像头（接入率全市第四），有效提升监管效能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科技赋能让食品安全监管提质增效</w:t>
      </w:r>
      <w:r>
        <w:rPr>
          <w:rFonts w:hint="eastAsia" w:ascii="仿宋_GB2312" w:hAnsi="仿宋_GB2312" w:eastAsia="仿宋_GB2312" w:cs="仿宋_GB2312"/>
          <w:sz w:val="32"/>
          <w:szCs w:val="32"/>
          <w:lang w:eastAsia="zh-CN"/>
        </w:rPr>
        <w:t>。</w:t>
      </w:r>
    </w:p>
    <w:p w14:paraId="719E2F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2.药</w:t>
      </w:r>
      <w:r>
        <w:rPr>
          <w:rFonts w:hint="eastAsia" w:ascii="仿宋_GB2312" w:hAnsi="仿宋_GB2312" w:eastAsia="仿宋_GB2312" w:cs="仿宋_GB2312"/>
          <w:b/>
          <w:bCs/>
          <w:sz w:val="32"/>
          <w:szCs w:val="32"/>
          <w:lang w:val="en-US" w:eastAsia="zh-CN"/>
        </w:rPr>
        <w:t>械</w:t>
      </w:r>
      <w:r>
        <w:rPr>
          <w:rFonts w:hint="eastAsia" w:ascii="仿宋_GB2312" w:hAnsi="仿宋_GB2312" w:eastAsia="仿宋_GB2312" w:cs="仿宋_GB2312"/>
          <w:b/>
          <w:bCs/>
          <w:sz w:val="32"/>
          <w:szCs w:val="32"/>
        </w:rPr>
        <w:t>安全监管</w:t>
      </w:r>
      <w:r>
        <w:rPr>
          <w:rFonts w:hint="eastAsia" w:ascii="仿宋_GB2312" w:hAnsi="仿宋_GB2312" w:eastAsia="仿宋_GB2312" w:cs="仿宋_GB2312"/>
          <w:b/>
          <w:bCs/>
          <w:sz w:val="32"/>
          <w:szCs w:val="32"/>
          <w:lang w:val="en-US" w:eastAsia="zh-CN"/>
        </w:rPr>
        <w:t>方面。</w:t>
      </w:r>
    </w:p>
    <w:p w14:paraId="002AB3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全年累计完成医疗器械经营企业许可核查60家次（含生产企业1家），药品经营企业许可核查28家次。监督抽检“两品一械”38批次（医疗器械7批、药品23批、化妆品8批），及时完成抽检全流程工作，支撑风险排查和精准监管。</w:t>
      </w:r>
    </w:p>
    <w:p w14:paraId="113847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对全区193家民营医院、个体诊所及卫生室开展全覆盖检查。行动中查办案件20起，发现问题45个，罚没款11.656万元，下达整改通知30份；针对药品储存条件，督促整改80处，责令35家机构规范仓储设施；强化药械采购验收监管，重点核查冷链药品及疫苗运输，查处6家机构医疗器械验收问题，曝光回流药案例6起。深化部门协同，与卫健、医保部门共享线索72条，联动公安移送涉刑案件，移交纪检监察违规线索。聚焦无菌及植入性医疗器械等高危领域，开展靶向性监督检查124家次，重点排查无证经营、超范围经营、经营过期失效产品等行为。对发现问题责令5家企业限期改正，立案2起，规范辖区医疗器械经营秩序，保障群众用药用械安全。</w:t>
      </w:r>
    </w:p>
    <w:p w14:paraId="75FA76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32"/>
          <w:szCs w:val="32"/>
          <w:lang w:val="en-US" w:eastAsia="zh-CN"/>
        </w:rPr>
        <w:t>3.产品质量安全方面。</w:t>
      </w:r>
      <w:r>
        <w:rPr>
          <w:rFonts w:hint="eastAsia" w:ascii="仿宋_GB2312" w:hAnsi="仿宋_GB2312" w:eastAsia="仿宋_GB2312" w:cs="仿宋_GB2312"/>
          <w:sz w:val="32"/>
          <w:szCs w:val="32"/>
          <w:vertAlign w:val="baseline"/>
          <w:lang w:val="en-US" w:eastAsia="zh-CN"/>
        </w:rPr>
        <w:t>根据部署，开展了电动自行车、燃气具等重点工业品，以及“一老一小”用品、禁塑限塑等专项整治。联合消防、应急等部门开展了电动自行车、消防产品等专班整治。联合技术专家，对江西瑞德恒昇等检验检测机构开展了国家级、省级、市级“双随机、一公开”检查，并对强制性认证产品、有机产品及自愿性认证活动进行监督，督促辖区检验检测机构完成年报、直报工作。</w:t>
      </w:r>
    </w:p>
    <w:p w14:paraId="0CC08D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4.特种设备安全方面。</w:t>
      </w:r>
      <w:r>
        <w:rPr>
          <w:rFonts w:hint="eastAsia" w:ascii="仿宋_GB2312" w:hAnsi="仿宋_GB2312" w:eastAsia="仿宋_GB2312" w:cs="仿宋_GB2312"/>
          <w:sz w:val="32"/>
          <w:szCs w:val="32"/>
          <w:lang w:val="en-US" w:eastAsia="zh-CN"/>
        </w:rPr>
        <w:t>全年共出动安全监察人员1196人次，检查598家使用单位（含2家气瓶充装单位）的2093台次特种设备（涵盖锅炉、压力容器、电梯等）。下达指令书45份，发现并整改隐患87条。开展了冷库、简易升降机、液化石油气瓶专项整治。完成了2025年20台老旧电梯更新民生实事任务。针对楼宇电动自行车智能阻止系统安全风险，于2025年9月26日前全部完成改造，优化为光幕联动方式，消除了安全隐患，保障了电梯正常运行与居民乘梯安全。</w:t>
      </w:r>
    </w:p>
    <w:p w14:paraId="6362CA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（三）维护市场秩序，保障消费者权益</w:t>
      </w:r>
    </w:p>
    <w:p w14:paraId="5A4F74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1.执法办案方面。</w:t>
      </w:r>
      <w:r>
        <w:rPr>
          <w:rFonts w:hint="eastAsia" w:ascii="仿宋_GB2312" w:hAnsi="仿宋_GB2312" w:eastAsia="仿宋_GB2312" w:cs="仿宋_GB2312"/>
          <w:sz w:val="32"/>
          <w:szCs w:val="32"/>
          <w:lang w:val="en-US" w:eastAsia="zh-CN"/>
        </w:rPr>
        <w:t>2025年，我局按照委托权限共立案普通程序41起，已办结行政处罚案件34起，罚没金额</w:t>
      </w:r>
      <w:r>
        <w:rPr>
          <w:rFonts w:hint="eastAsia" w:ascii="仿宋_GB2312" w:hAnsi="仿宋_GB2312" w:eastAsia="仿宋_GB2312" w:cs="仿宋_GB2312"/>
          <w:bCs/>
          <w:kern w:val="2"/>
          <w:sz w:val="32"/>
          <w:szCs w:val="32"/>
          <w:lang w:val="en-US" w:eastAsia="zh-CN" w:bidi="ar-SA"/>
        </w:rPr>
        <w:t>17万余</w:t>
      </w:r>
      <w:r>
        <w:rPr>
          <w:rFonts w:hint="eastAsia" w:ascii="仿宋_GB2312" w:hAnsi="仿宋_GB2312" w:eastAsia="仿宋_GB2312" w:cs="仿宋_GB2312"/>
          <w:sz w:val="32"/>
          <w:szCs w:val="32"/>
          <w:lang w:val="en-US" w:eastAsia="zh-CN"/>
        </w:rPr>
        <w:t>元。严格落实行政处罚案件法制核审制度，提交案审会讨论20次，案件核审率达100%。</w:t>
      </w:r>
      <w:r>
        <w:rPr>
          <w:rFonts w:hint="eastAsia" w:ascii="仿宋_GB2312" w:hAnsi="仿宋_GB2312" w:eastAsia="仿宋_GB2312" w:cs="仿宋_GB2312"/>
          <w:bCs/>
          <w:kern w:val="2"/>
          <w:sz w:val="32"/>
          <w:szCs w:val="32"/>
          <w:lang w:val="en-US" w:eastAsia="zh-CN" w:bidi="ar-SA"/>
        </w:rPr>
        <w:t>接收检察院、公安移送商标侵权案件线2起</w:t>
      </w:r>
      <w:r>
        <w:rPr>
          <w:rFonts w:hint="eastAsia" w:ascii="仿宋_GB2312" w:hAnsi="仿宋_GB2312" w:eastAsia="仿宋_GB2312" w:cs="仿宋_GB2312"/>
          <w:sz w:val="32"/>
          <w:szCs w:val="32"/>
          <w:lang w:val="en-US" w:eastAsia="zh-CN"/>
        </w:rPr>
        <w:t>。共收到并答复南昌市人民政府行政复议96件，共收到并答复东湖区人民政府行政复议6件。</w:t>
      </w:r>
    </w:p>
    <w:p w14:paraId="49B810D8">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2.消费维权方面。</w:t>
      </w:r>
      <w:r>
        <w:rPr>
          <w:rFonts w:hint="eastAsia" w:ascii="仿宋_GB2312" w:eastAsia="仿宋_GB2312"/>
          <w:sz w:val="32"/>
          <w:szCs w:val="32"/>
          <w:lang w:val="en-US" w:eastAsia="zh-CN"/>
        </w:rPr>
        <w:t>2025年</w:t>
      </w:r>
      <w:r>
        <w:rPr>
          <w:rFonts w:hint="eastAsia" w:ascii="仿宋_GB2312" w:eastAsia="仿宋_GB2312"/>
          <w:sz w:val="32"/>
          <w:szCs w:val="32"/>
        </w:rPr>
        <w:t>已发展放心消费承诺单位</w:t>
      </w:r>
      <w:r>
        <w:rPr>
          <w:rFonts w:hint="eastAsia" w:ascii="仿宋_GB2312" w:eastAsia="仿宋_GB2312"/>
          <w:sz w:val="32"/>
          <w:szCs w:val="32"/>
          <w:lang w:val="en-US" w:eastAsia="zh-CN"/>
        </w:rPr>
        <w:t>52</w:t>
      </w:r>
      <w:r>
        <w:rPr>
          <w:rFonts w:hint="eastAsia" w:ascii="仿宋_GB2312" w:eastAsia="仿宋_GB2312"/>
          <w:sz w:val="32"/>
          <w:szCs w:val="32"/>
        </w:rPr>
        <w:t>家、线下无理由退货承诺经营主体63家、发展ODR企业2</w:t>
      </w:r>
      <w:r>
        <w:rPr>
          <w:rFonts w:hint="eastAsia" w:ascii="仿宋_GB2312" w:eastAsia="仿宋_GB2312"/>
          <w:sz w:val="32"/>
          <w:szCs w:val="32"/>
          <w:lang w:val="en-US" w:eastAsia="zh-CN"/>
        </w:rPr>
        <w:t>4</w:t>
      </w:r>
      <w:r>
        <w:rPr>
          <w:rFonts w:hint="eastAsia" w:ascii="仿宋_GB2312" w:eastAsia="仿宋_GB2312"/>
          <w:sz w:val="32"/>
          <w:szCs w:val="32"/>
        </w:rPr>
        <w:t>家</w:t>
      </w:r>
      <w:r>
        <w:rPr>
          <w:rFonts w:hint="eastAsia" w:ascii="仿宋_GB2312" w:eastAsia="仿宋_GB2312"/>
          <w:sz w:val="32"/>
          <w:szCs w:val="32"/>
          <w:lang w:eastAsia="zh-CN"/>
        </w:rPr>
        <w:t>。</w:t>
      </w:r>
      <w:r>
        <w:rPr>
          <w:rFonts w:hint="eastAsia" w:ascii="仿宋_GB2312" w:eastAsia="仿宋_GB2312"/>
          <w:sz w:val="32"/>
          <w:szCs w:val="32"/>
        </w:rPr>
        <w:t>完善投诉举报处置工作规程，加大重点领域投诉举报处置力度，提升投诉举报处理的法治化、规范化、标准化水平。受理12315消费者投诉、举报</w:t>
      </w:r>
      <w:r>
        <w:rPr>
          <w:rFonts w:hint="eastAsia" w:ascii="仿宋_GB2312" w:eastAsia="仿宋_GB2312"/>
          <w:sz w:val="32"/>
          <w:szCs w:val="32"/>
          <w:lang w:val="en-US" w:eastAsia="zh-CN"/>
        </w:rPr>
        <w:t>11008</w:t>
      </w:r>
      <w:r>
        <w:rPr>
          <w:rFonts w:hint="eastAsia" w:ascii="仿宋_GB2312" w:eastAsia="仿宋_GB2312"/>
          <w:sz w:val="32"/>
          <w:szCs w:val="32"/>
        </w:rPr>
        <w:t>余件，处理12345政务服务热线转办件</w:t>
      </w:r>
      <w:r>
        <w:rPr>
          <w:rFonts w:hint="eastAsia" w:ascii="仿宋_GB2312" w:eastAsia="仿宋_GB2312"/>
          <w:sz w:val="32"/>
          <w:szCs w:val="32"/>
          <w:lang w:val="en-US" w:eastAsia="zh-CN"/>
        </w:rPr>
        <w:t>6903</w:t>
      </w:r>
      <w:r>
        <w:rPr>
          <w:rFonts w:hint="eastAsia" w:ascii="仿宋_GB2312" w:eastAsia="仿宋_GB2312"/>
          <w:sz w:val="32"/>
          <w:szCs w:val="32"/>
        </w:rPr>
        <w:t>件。</w:t>
      </w:r>
      <w:r>
        <w:rPr>
          <w:rFonts w:hint="eastAsia" w:ascii="仿宋_GB2312" w:hAnsi="仿宋_GB2312" w:eastAsia="仿宋_GB2312" w:cs="仿宋_GB2312"/>
          <w:sz w:val="32"/>
          <w:szCs w:val="32"/>
          <w:lang w:val="en-US" w:eastAsia="zh-CN"/>
        </w:rPr>
        <w:t>此外，工作要求包括食品投诉举报按时办结，目前未出现超期办理的情况；两品一械工单按要求办理，目前我局未被通报办理不规范。</w:t>
      </w:r>
    </w:p>
    <w:p w14:paraId="7233C5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（四）推进质量提升，助力区域经济发展</w:t>
      </w:r>
    </w:p>
    <w:p w14:paraId="46489BE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1.质量强区建设工作。</w:t>
      </w:r>
      <w:r>
        <w:rPr>
          <w:rFonts w:hint="eastAsia" w:ascii="仿宋_GB2312" w:hAnsi="仿宋_GB2312" w:eastAsia="仿宋_GB2312" w:cs="仿宋_GB2312"/>
          <w:sz w:val="32"/>
          <w:szCs w:val="32"/>
          <w:lang w:val="en-US" w:eastAsia="zh-CN"/>
        </w:rPr>
        <w:t>充分发挥市场监管在质量、标准、品牌、知识产权等方面的职能作用，推进“四个强市”相关工作。我局先后举办了“质量基础设施进百企、质量专家园区行”等质量提升活动，并在中小企业推进首席质量官制度，组织10家辖区企业参加卓越绩效、质量公益推广等培训活动，组织6家企业参加2025年南昌市品牌故事大赛、先进质量管理典型案例等评选活动。</w:t>
      </w:r>
    </w:p>
    <w:p w14:paraId="55ECB6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2.标准化工作。</w:t>
      </w:r>
      <w:r>
        <w:rPr>
          <w:rFonts w:hint="eastAsia" w:ascii="仿宋_GB2312" w:hAnsi="仿宋_GB2312" w:eastAsia="仿宋_GB2312" w:cs="仿宋_GB2312"/>
          <w:sz w:val="32"/>
          <w:szCs w:val="32"/>
        </w:rPr>
        <w:t>对12家企业开展2025年企业标准、商品条码“双随机、一公开”检查；组织6家企业参加省局标准化总监培训及线上考试，开展“世界标准日”等标准宣贯活动；指导江西林西等企业参与省卓越绩效和标准化总监培训活动，组织江西天辅通讯、云数医管等2家企业申报省局2025年度专精特新培育库，推动辖区企业标准化水平提升。</w:t>
      </w:r>
      <w:r>
        <w:rPr>
          <w:rFonts w:hint="eastAsia" w:ascii="仿宋_GB2312" w:hAnsi="仿宋_GB2312" w:eastAsia="仿宋_GB2312" w:cs="仿宋_GB2312"/>
          <w:sz w:val="32"/>
          <w:szCs w:val="32"/>
          <w:lang w:val="en-US" w:eastAsia="zh-CN"/>
        </w:rPr>
        <w:t xml:space="preserve">  </w:t>
      </w:r>
    </w:p>
    <w:p w14:paraId="082E65B3">
      <w:pPr>
        <w:keepNext w:val="0"/>
        <w:keepLines w:val="0"/>
        <w:pageBreakBefore w:val="0"/>
        <w:kinsoku/>
        <w:wordWrap/>
        <w:overflowPunct/>
        <w:topLinePunct w:val="0"/>
        <w:autoSpaceDE/>
        <w:autoSpaceDN/>
        <w:bidi w:val="0"/>
        <w:adjustRightInd/>
        <w:snapToGrid/>
        <w:spacing w:line="560" w:lineRule="exact"/>
        <w:ind w:firstLine="707" w:firstLineChars="22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3.知识产权工作。</w:t>
      </w:r>
      <w:r>
        <w:rPr>
          <w:rFonts w:hint="eastAsia" w:ascii="仿宋_GB2312" w:hAnsi="仿宋_GB2312" w:eastAsia="仿宋_GB2312" w:cs="仿宋_GB2312"/>
          <w:sz w:val="32"/>
          <w:szCs w:val="32"/>
        </w:rPr>
        <w:t>2025年东湖区商标申请件数1963件、注册件数1074件、有效注册量12627件；有效发明专利拥有量966件，同比增长23.69%，每万人有效发明专利拥有量22.91件，同比增长4.39件，</w:t>
      </w:r>
      <w:r>
        <w:rPr>
          <w:rFonts w:hint="eastAsia" w:ascii="仿宋_GB2312" w:hAnsi="仿宋_GB2312" w:eastAsia="仿宋_GB2312" w:cs="仿宋_GB2312"/>
          <w:sz w:val="32"/>
          <w:szCs w:val="32"/>
          <w:lang w:eastAsia="zh-CN"/>
        </w:rPr>
        <w:t>商标专利数据增长，</w:t>
      </w:r>
      <w:r>
        <w:rPr>
          <w:rFonts w:hint="eastAsia" w:ascii="仿宋_GB2312" w:hAnsi="仿宋_GB2312" w:eastAsia="仿宋_GB2312" w:cs="仿宋_GB2312"/>
          <w:sz w:val="32"/>
          <w:szCs w:val="32"/>
        </w:rPr>
        <w:t>知识产权创造规模持续扩大。引导企业盘活知识产权资源，推动“知本”向“资本”转化。走访民营企业掌握融资需求，帮助</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家企业获得</w:t>
      </w:r>
      <w:r>
        <w:rPr>
          <w:rFonts w:hint="eastAsia" w:ascii="仿宋_GB2312" w:hAnsi="仿宋_GB2312" w:eastAsia="仿宋_GB2312" w:cs="仿宋_GB2312"/>
          <w:sz w:val="32"/>
          <w:szCs w:val="32"/>
          <w:lang w:val="en-US" w:eastAsia="zh-CN"/>
        </w:rPr>
        <w:t>2235</w:t>
      </w:r>
      <w:r>
        <w:rPr>
          <w:rFonts w:hint="eastAsia" w:ascii="仿宋_GB2312" w:hAnsi="仿宋_GB2312" w:eastAsia="仿宋_GB2312" w:cs="仿宋_GB2312"/>
          <w:sz w:val="32"/>
          <w:szCs w:val="32"/>
        </w:rPr>
        <w:t>万元专利质押融资贷款，缓解企业资金压力；根据省市局要求，组织江西云数医管、远大科技等企业申报“江西省专利奖”，提升企业知识产权竞争力，推动知识产权与实体经济深度融合</w:t>
      </w:r>
      <w:r>
        <w:rPr>
          <w:rFonts w:hint="eastAsia" w:ascii="仿宋_GB2312" w:hAnsi="仿宋_GB2312" w:eastAsia="仿宋_GB2312" w:cs="仿宋_GB2312"/>
          <w:sz w:val="32"/>
          <w:szCs w:val="32"/>
          <w:lang w:eastAsia="zh-CN"/>
        </w:rPr>
        <w:t>，促进专利成果转化培育。</w:t>
      </w:r>
    </w:p>
    <w:p w14:paraId="2C825F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二、当前工作存在的问题和不足</w:t>
      </w:r>
    </w:p>
    <w:p w14:paraId="06A08B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（一）监管力量不足</w:t>
      </w:r>
    </w:p>
    <w:p w14:paraId="7CAF26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前基层职能多、监管任务重，工作人员少、综合能力不强，缺乏技术支持和信息化手段，辖区食品生产经营主体体量大、品类多，农村食品生产经营主体分布广，难以在短时间内实现全覆盖、高频次的监督检查，难以快速响应解决问题。同时各相关部门间信息共享和协调配合机制不够完善，导致一些信息无法及时共享、资源无法有效整合、监管工作出现重复或遗漏等问题，降低了监管效率，增加了风险。</w:t>
      </w:r>
    </w:p>
    <w:p w14:paraId="6614CD4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（二）技术支撑薄弱</w:t>
      </w:r>
    </w:p>
    <w:p w14:paraId="2065D2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产品质量检测、特种设备安全监测、食品药品安全检验等方面，缺乏先进的技术设备和专业的技术人才，技术支撑能力无法满足监管工作的实际需求，部分检测项目需要委托第三方机构进行，不仅增加了监管成本，也影响了监管效率和时效性。同时，工作人员缺乏系统政策专业知识，对《公平竞争审查制度实施细则》等法律法规理解不透彻，专业培训覆盖不全面，培训次数不够多，缺乏实战化培训和有经验的工作人员指导。</w:t>
      </w:r>
    </w:p>
    <w:p w14:paraId="3BC4A6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（三）部门协同配合有待加强</w:t>
      </w:r>
    </w:p>
    <w:p w14:paraId="50D0E1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场监管工作涉及多个部门，需要各部门之间密切协同配合，但当前在协同配合方面仍存在一些不足。各部门在信息共享上存在壁垒，虽然建立了一些信息交流机制，但信息传递的及时性和准确性仍有待提高，导致部分工作因信息不畅而出现衔接不紧密、重复劳动等问题。当遇到突发情况或者需要紧急协同处理的问题时，难以迅速组织各部门形成合力，及时有效地解决问题。</w:t>
      </w:r>
    </w:p>
    <w:p w14:paraId="457B70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三、2026年工作安排及打算</w:t>
      </w:r>
    </w:p>
    <w:p w14:paraId="34E39C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（一）持续优化营商环境</w:t>
      </w:r>
    </w:p>
    <w:p w14:paraId="71A85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一步深化“放管服”改革，创新服务举措，提高服务效能。加强对新设立市场主体的跟踪服务，及时了解企业需求，帮助企业解决实际困难。加大对小微企业、个体工商户的扶持力度，推动各项惠企政策落地见效。</w:t>
      </w:r>
    </w:p>
    <w:p w14:paraId="599D45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（二）强化三品一特安全监管</w:t>
      </w:r>
    </w:p>
    <w:p w14:paraId="4D4DD7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落实“四个最严”要求，持续加强食品安全、药品安全、特种设备安全和产品质量安全监管。加大执法检查力度，严厉打击各类违法违规行为。加强风险监测和预警，及时发现和消除安全隐患。完善应急处置机制，提高应对突发事件的能力。</w:t>
      </w:r>
    </w:p>
    <w:p w14:paraId="320277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（三）加强干部队伍建设</w:t>
      </w:r>
    </w:p>
    <w:p w14:paraId="1D8B8A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加强干部职工的业务培训和思想政治教育，提高干部职工的综合素质和业务能力。建立健全激励机制，充分调动干部职工的工作积极性和主动性。加强党风廉政建设，营造风清气正的工作环境。</w:t>
      </w:r>
    </w:p>
    <w:p w14:paraId="259939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（四）推进质量提升行动</w:t>
      </w:r>
    </w:p>
    <w:p w14:paraId="466742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积极探索建立质量评价体系，推进我区服务业品牌建设，组织开展各类专项整治行动，继续推动生产经营单位落实总局75、76号令“两个责任”的落实，督促生产经营单位建立四个制度，落实质量安全主体责任。进一步加大认证认可、标准化工作力度，继续做好强制性认证产品及自愿性认证活动日常巡查，加强对企业标准化工作的监管力度。</w:t>
      </w:r>
    </w:p>
    <w:p w14:paraId="6C03F5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（五）推进统一大市场建设</w:t>
      </w:r>
    </w:p>
    <w:p w14:paraId="36CF6E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强化人才培养与引进，建立健全常态化、系统化的培训机制，探索与高校、律所、第三方专业机构合作。积极争取经费与技术支撑，稳定专项经费，为购买专业化服务提供保障。并加强宣传与跨部门沟通，提升公平竞争审查等在政府工作中的权重，凝聚共识，减少推行阻力。</w:t>
      </w:r>
    </w:p>
    <w:p w14:paraId="5CC116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（六）打通行政审批数据壁垒</w:t>
      </w:r>
    </w:p>
    <w:p w14:paraId="053B6F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依托全省“一照通办”平台改革，探索实施“一业一证”改革，大力开展电子营业执照和电子许可证联展联用，互通互认，推动全省电子证照在各领域应用。打通企业退出市场所涉及的行政许可的各职能部门之间数据壁垒，真正实现企业注销“一网通办”、“1+N”一站式服务。</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C666D7"/>
    <w:rsid w:val="021A09FD"/>
    <w:rsid w:val="02300221"/>
    <w:rsid w:val="03035935"/>
    <w:rsid w:val="059B009A"/>
    <w:rsid w:val="05CA047B"/>
    <w:rsid w:val="061D0B88"/>
    <w:rsid w:val="068F3712"/>
    <w:rsid w:val="0B1B7594"/>
    <w:rsid w:val="0C5B233E"/>
    <w:rsid w:val="0F967BE5"/>
    <w:rsid w:val="12E13B6A"/>
    <w:rsid w:val="136E6DFB"/>
    <w:rsid w:val="146A5814"/>
    <w:rsid w:val="15785996"/>
    <w:rsid w:val="163F682C"/>
    <w:rsid w:val="197F070C"/>
    <w:rsid w:val="1A403DDF"/>
    <w:rsid w:val="1A451613"/>
    <w:rsid w:val="1AF521B3"/>
    <w:rsid w:val="1BE3F284"/>
    <w:rsid w:val="1C8036FB"/>
    <w:rsid w:val="1D0154E7"/>
    <w:rsid w:val="1E9A5E08"/>
    <w:rsid w:val="1EC666D7"/>
    <w:rsid w:val="216058A9"/>
    <w:rsid w:val="21A165ED"/>
    <w:rsid w:val="21E36C06"/>
    <w:rsid w:val="22745AB0"/>
    <w:rsid w:val="24A845F5"/>
    <w:rsid w:val="25853B30"/>
    <w:rsid w:val="26962499"/>
    <w:rsid w:val="27CD6C6D"/>
    <w:rsid w:val="2A9A1E2C"/>
    <w:rsid w:val="2BD55811"/>
    <w:rsid w:val="2D0A3299"/>
    <w:rsid w:val="2F814263"/>
    <w:rsid w:val="2FE90B30"/>
    <w:rsid w:val="31813D45"/>
    <w:rsid w:val="34012F1B"/>
    <w:rsid w:val="34115819"/>
    <w:rsid w:val="344C1902"/>
    <w:rsid w:val="344E1081"/>
    <w:rsid w:val="355176E2"/>
    <w:rsid w:val="35753BC1"/>
    <w:rsid w:val="35A57F43"/>
    <w:rsid w:val="36581519"/>
    <w:rsid w:val="367B5207"/>
    <w:rsid w:val="375F68D7"/>
    <w:rsid w:val="386D137D"/>
    <w:rsid w:val="3AF51EDA"/>
    <w:rsid w:val="3D5D7415"/>
    <w:rsid w:val="3D9679B9"/>
    <w:rsid w:val="3DB35A72"/>
    <w:rsid w:val="3F850EA5"/>
    <w:rsid w:val="3FB92FF2"/>
    <w:rsid w:val="433E3844"/>
    <w:rsid w:val="43D85A47"/>
    <w:rsid w:val="451C5E07"/>
    <w:rsid w:val="45811A13"/>
    <w:rsid w:val="47094169"/>
    <w:rsid w:val="47351796"/>
    <w:rsid w:val="493B581A"/>
    <w:rsid w:val="4968786D"/>
    <w:rsid w:val="4C87000A"/>
    <w:rsid w:val="4D950505"/>
    <w:rsid w:val="4DB56DF9"/>
    <w:rsid w:val="4DC91721"/>
    <w:rsid w:val="4E5B79A0"/>
    <w:rsid w:val="504A1A7A"/>
    <w:rsid w:val="513B7615"/>
    <w:rsid w:val="51B178D7"/>
    <w:rsid w:val="53456529"/>
    <w:rsid w:val="53726AE6"/>
    <w:rsid w:val="53BB30F6"/>
    <w:rsid w:val="53C311A7"/>
    <w:rsid w:val="545C7FCE"/>
    <w:rsid w:val="54CB0CB0"/>
    <w:rsid w:val="57382957"/>
    <w:rsid w:val="57452F9B"/>
    <w:rsid w:val="58DE07CA"/>
    <w:rsid w:val="59260F9B"/>
    <w:rsid w:val="5B4E74EA"/>
    <w:rsid w:val="5C3E7FB9"/>
    <w:rsid w:val="5C4A2E02"/>
    <w:rsid w:val="5E6301AB"/>
    <w:rsid w:val="5FB13829"/>
    <w:rsid w:val="60561D75"/>
    <w:rsid w:val="60CB110D"/>
    <w:rsid w:val="610E7483"/>
    <w:rsid w:val="624502F4"/>
    <w:rsid w:val="65642284"/>
    <w:rsid w:val="65652A5B"/>
    <w:rsid w:val="67184E13"/>
    <w:rsid w:val="695232F6"/>
    <w:rsid w:val="69AA3132"/>
    <w:rsid w:val="69CF57D2"/>
    <w:rsid w:val="69F10D61"/>
    <w:rsid w:val="6ACB15B2"/>
    <w:rsid w:val="6C3638B4"/>
    <w:rsid w:val="6EB34837"/>
    <w:rsid w:val="708E56AA"/>
    <w:rsid w:val="70DA254F"/>
    <w:rsid w:val="71704C61"/>
    <w:rsid w:val="71727195"/>
    <w:rsid w:val="71DE33A2"/>
    <w:rsid w:val="71F25676"/>
    <w:rsid w:val="72B312A9"/>
    <w:rsid w:val="761402B1"/>
    <w:rsid w:val="768F5B89"/>
    <w:rsid w:val="79030169"/>
    <w:rsid w:val="7A46684B"/>
    <w:rsid w:val="7D2F6E7D"/>
    <w:rsid w:val="7DBB234F"/>
    <w:rsid w:val="7E3C56FC"/>
    <w:rsid w:val="7E413C0D"/>
    <w:rsid w:val="7EFF38A8"/>
    <w:rsid w:val="7F4337E5"/>
    <w:rsid w:val="7F8C2C66"/>
    <w:rsid w:val="9DD62450"/>
    <w:rsid w:val="FF89A9D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公文正文"/>
    <w:qFormat/>
    <w:uiPriority w:val="0"/>
    <w:pPr>
      <w:widowControl/>
      <w:spacing w:line="560" w:lineRule="exact"/>
      <w:ind w:firstLine="878" w:firstLineChars="200"/>
      <w:jc w:val="both"/>
    </w:pPr>
    <w:rPr>
      <w:rFonts w:ascii="仿宋_GB2312" w:hAnsi="仿宋_GB2312" w:eastAsia="仿宋_GB2312" w:cs="黑体"/>
      <w:color w:val="000000"/>
      <w:kern w:val="0"/>
      <w:sz w:val="32"/>
      <w:szCs w:val="31"/>
      <w:lang w:bidi="ar"/>
    </w:rPr>
  </w:style>
  <w:style w:type="paragraph" w:customStyle="1" w:styleId="5">
    <w:name w:val="公文二级标题"/>
    <w:next w:val="4"/>
    <w:qFormat/>
    <w:uiPriority w:val="0"/>
    <w:pPr>
      <w:widowControl/>
      <w:spacing w:line="560" w:lineRule="exact"/>
      <w:ind w:firstLine="878" w:firstLineChars="200"/>
    </w:pPr>
    <w:rPr>
      <w:rFonts w:hint="eastAsia" w:ascii="黑体" w:hAnsi="黑体" w:eastAsia="黑体" w:cs="黑体"/>
      <w:color w:val="000000"/>
      <w:kern w:val="0"/>
      <w:sz w:val="32"/>
      <w:szCs w:val="32"/>
      <w:lang w:bidi="ar"/>
    </w:rPr>
  </w:style>
  <w:style w:type="character" w:customStyle="1" w:styleId="6">
    <w:name w:val="公文正文 Char"/>
    <w:qFormat/>
    <w:uiPriority w:val="0"/>
    <w:rPr>
      <w:rFonts w:ascii="仿宋_GB2312" w:hAnsi="仿宋_GB2312" w:eastAsia="仿宋_GB2312" w:cs="黑体"/>
      <w:color w:val="000000"/>
      <w:kern w:val="0"/>
      <w:sz w:val="32"/>
      <w:szCs w:val="31"/>
      <w:lang w:bidi="ar"/>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4729</Words>
  <Characters>4962</Characters>
  <Lines>0</Lines>
  <Paragraphs>0</Paragraphs>
  <TotalTime>4</TotalTime>
  <ScaleCrop>false</ScaleCrop>
  <LinksUpToDate>false</LinksUpToDate>
  <CharactersWithSpaces>4965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2025-10-30T22:57:00Z</dcterms:created>
  <dc:creator>在吗借我一亿</dc:creator>
  <cp:lastModifiedBy>在吗借我一亿</cp:lastModifiedBy>
  <dcterms:modified xsi:type="dcterms:W3CDTF">2026-01-27T09:38:09Z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CE65B95915344B62854DB36310240E4A_11</vt:lpwstr>
  </property>
  <property fmtid="{D5CDD505-2E9C-101B-9397-08002B2CF9AE}" pid="4" name="KSOTemplateDocerSaveRecord">
    <vt:lpwstr>eyJoZGlkIjoiNzUyMjBkZjBjOTA1NzhjNTM5OGU0NmE4NmExNTVjYjAiLCJ1c2VySWQiOiI5ODU3MTE4NTIifQ==</vt:lpwstr>
  </property>
  <property fmtid="{D5CDD505-2E9C-101B-9397-08002B2CF9AE}" pid="5" name="woTemplateTypoMode" linkTarget="0">
    <vt:lpwstr>web</vt:lpwstr>
  </property>
  <property fmtid="{D5CDD505-2E9C-101B-9397-08002B2CF9AE}" pid="6" name="woTemplate" linkTarget="0">
    <vt:i4>1</vt:i4>
  </property>
</Properties>
</file>