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8F285">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南昌市东湖区市场监督管理局</w:t>
      </w:r>
      <w:r>
        <w:rPr>
          <w:rFonts w:hint="eastAsia" w:ascii="方正小标宋简体" w:hAnsi="方正小标宋简体" w:eastAsia="方正小标宋简体" w:cs="方正小标宋简体"/>
          <w:sz w:val="44"/>
          <w:szCs w:val="44"/>
          <w:lang w:val="en-US" w:eastAsia="zh-CN"/>
        </w:rPr>
        <w:t>2023年上半年工作总结和下半年工作计划</w:t>
      </w:r>
    </w:p>
    <w:p w14:paraId="60A736D9">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仿宋"/>
          <w:sz w:val="32"/>
          <w:szCs w:val="32"/>
        </w:rPr>
      </w:pPr>
    </w:p>
    <w:p w14:paraId="67BAA18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2023</w:t>
      </w:r>
      <w:r>
        <w:rPr>
          <w:rFonts w:hint="eastAsia" w:ascii="仿宋" w:hAnsi="仿宋" w:eastAsia="仿宋" w:cs="仿宋"/>
          <w:sz w:val="32"/>
          <w:szCs w:val="32"/>
        </w:rPr>
        <w:t>年上半年，</w:t>
      </w:r>
      <w:r>
        <w:rPr>
          <w:rFonts w:hint="eastAsia" w:ascii="仿宋" w:hAnsi="仿宋" w:eastAsia="仿宋" w:cs="仿宋"/>
          <w:sz w:val="32"/>
          <w:szCs w:val="32"/>
          <w:lang w:eastAsia="zh-CN"/>
        </w:rPr>
        <w:t>南昌市东湖区</w:t>
      </w:r>
      <w:r>
        <w:rPr>
          <w:rFonts w:hint="eastAsia" w:ascii="仿宋" w:hAnsi="仿宋" w:eastAsia="仿宋" w:cs="仿宋"/>
          <w:sz w:val="32"/>
          <w:szCs w:val="32"/>
        </w:rPr>
        <w:t>市场</w:t>
      </w:r>
      <w:r>
        <w:rPr>
          <w:rFonts w:hint="eastAsia" w:ascii="仿宋" w:hAnsi="仿宋" w:eastAsia="仿宋" w:cs="仿宋"/>
          <w:sz w:val="32"/>
          <w:szCs w:val="32"/>
          <w:lang w:eastAsia="zh-CN"/>
        </w:rPr>
        <w:t>监督管理</w:t>
      </w:r>
      <w:r>
        <w:rPr>
          <w:rFonts w:hint="eastAsia" w:ascii="仿宋" w:hAnsi="仿宋" w:eastAsia="仿宋" w:cs="仿宋"/>
          <w:sz w:val="32"/>
          <w:szCs w:val="32"/>
        </w:rPr>
        <w:t>局紧紧围绕</w:t>
      </w:r>
      <w:r>
        <w:rPr>
          <w:rFonts w:hint="eastAsia" w:ascii="仿宋" w:hAnsi="仿宋" w:eastAsia="仿宋" w:cs="仿宋"/>
          <w:sz w:val="32"/>
          <w:szCs w:val="32"/>
          <w:lang w:eastAsia="zh-CN"/>
        </w:rPr>
        <w:t>区</w:t>
      </w:r>
      <w:r>
        <w:rPr>
          <w:rFonts w:hint="eastAsia" w:ascii="仿宋" w:hAnsi="仿宋" w:eastAsia="仿宋" w:cs="仿宋"/>
          <w:sz w:val="32"/>
          <w:szCs w:val="32"/>
        </w:rPr>
        <w:t>委、</w:t>
      </w:r>
      <w:r>
        <w:rPr>
          <w:rFonts w:hint="eastAsia" w:ascii="仿宋" w:hAnsi="仿宋" w:eastAsia="仿宋" w:cs="仿宋"/>
          <w:sz w:val="32"/>
          <w:szCs w:val="32"/>
          <w:lang w:eastAsia="zh-CN"/>
        </w:rPr>
        <w:t>区</w:t>
      </w:r>
      <w:r>
        <w:rPr>
          <w:rFonts w:hint="eastAsia" w:ascii="仿宋" w:hAnsi="仿宋" w:eastAsia="仿宋" w:cs="仿宋"/>
          <w:sz w:val="32"/>
          <w:szCs w:val="32"/>
        </w:rPr>
        <w:t>政府的工作部署和要求，以开展“作风提升年”活动为抓手，以营造公平有序、安全放心的营商环境为目标，扎实推进市场监管各项工作，取得</w:t>
      </w:r>
      <w:r>
        <w:rPr>
          <w:rFonts w:hint="eastAsia" w:ascii="仿宋" w:hAnsi="仿宋" w:eastAsia="仿宋" w:cs="仿宋"/>
          <w:sz w:val="32"/>
          <w:szCs w:val="32"/>
          <w:lang w:eastAsia="zh-CN"/>
        </w:rPr>
        <w:t>显著</w:t>
      </w:r>
      <w:r>
        <w:rPr>
          <w:rFonts w:hint="eastAsia" w:ascii="仿宋" w:hAnsi="仿宋" w:eastAsia="仿宋" w:cs="仿宋"/>
          <w:sz w:val="32"/>
          <w:szCs w:val="32"/>
        </w:rPr>
        <w:t>的成效。现将主要工作情况汇报如下:</w:t>
      </w:r>
    </w:p>
    <w:p w14:paraId="00820B7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一、上半年工作总结</w:t>
      </w:r>
    </w:p>
    <w:p w14:paraId="4DF0A5C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（一）坚持政治引领，加强作风建设，提升能力素质</w:t>
      </w:r>
    </w:p>
    <w:p w14:paraId="402A362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东湖区市场监督管理局党组坚持以党的政治建设为统领,坚决贯彻落实习近平总书记对全面从严治党工作的指示要求,以党建工作为引领,聚焦全面从严治党的核心工作,加强管党治党的政治定力, 强化监督执纪问责,切实加强作风建设,推动政治生态更加清明、实干氛围更为浓厚。年初研究制定202</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年党组理论学习中心组学习计划,深入学习习近平总书记系列重要讲话、重要指示批示精神，中央、 省委、市委、区委重要决策部署,市场监管相关法律法规等内容。截至目前,共开展支部集中学习</w:t>
      </w:r>
      <w:r>
        <w:rPr>
          <w:rFonts w:hint="eastAsia" w:ascii="仿宋" w:hAnsi="仿宋" w:eastAsia="仿宋" w:cs="仿宋"/>
          <w:sz w:val="32"/>
          <w:szCs w:val="32"/>
          <w:lang w:val="en-US" w:eastAsia="zh-CN"/>
        </w:rPr>
        <w:t>24</w:t>
      </w:r>
      <w:r>
        <w:rPr>
          <w:rFonts w:hint="eastAsia" w:ascii="仿宋" w:hAnsi="仿宋" w:eastAsia="仿宋" w:cs="仿宋"/>
          <w:sz w:val="32"/>
          <w:szCs w:val="32"/>
          <w:lang w:eastAsia="zh-CN"/>
        </w:rPr>
        <w:t>次,学习研讨</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次。选派</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名科级以上领导、党员干部参加全区学习贯彻党的二十大精神集中轮训班。作为区“小个专”综合党委，年初在</w:t>
      </w:r>
      <w:r>
        <w:rPr>
          <w:rFonts w:hint="eastAsia" w:ascii="仿宋" w:hAnsi="仿宋" w:eastAsia="仿宋" w:cs="仿宋"/>
          <w:sz w:val="32"/>
          <w:szCs w:val="32"/>
          <w:lang w:val="en-US" w:eastAsia="zh-CN"/>
        </w:rPr>
        <w:t>10个分局建立了“小个专”党建工作指导站，</w:t>
      </w:r>
      <w:r>
        <w:rPr>
          <w:rFonts w:hint="eastAsia" w:ascii="仿宋_GB2312" w:hAnsi="仿宋_GB2312" w:eastAsia="仿宋_GB2312" w:cs="仿宋_GB2312"/>
          <w:color w:val="000000" w:themeColor="text1"/>
          <w:spacing w:val="0"/>
          <w:sz w:val="32"/>
          <w:szCs w:val="32"/>
          <w:lang w:eastAsia="zh-CN"/>
          <w14:textFill>
            <w14:solidFill>
              <w14:schemeClr w14:val="tx1"/>
            </w14:solidFill>
          </w14:textFill>
        </w:rPr>
        <w:t>将党员、党组织等信息与登记注册、信用监管、年报工作相结合，并在全区划定了</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10个重点区域，</w:t>
      </w:r>
      <w:r>
        <w:rPr>
          <w:rFonts w:hint="eastAsia" w:ascii="仿宋_GB2312" w:hAnsi="仿宋_GB2312" w:eastAsia="仿宋_GB2312" w:cs="仿宋_GB2312"/>
          <w:color w:val="000000" w:themeColor="text1"/>
          <w:spacing w:val="0"/>
          <w:sz w:val="32"/>
          <w:szCs w:val="32"/>
          <w:lang w:eastAsia="zh-CN"/>
          <w14:textFill>
            <w14:solidFill>
              <w14:schemeClr w14:val="tx1"/>
            </w14:solidFill>
          </w14:textFill>
        </w:rPr>
        <w:t>共摸排了668家个体工商户，其中党员数量为</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18人。</w:t>
      </w:r>
      <w:r>
        <w:rPr>
          <w:rFonts w:hint="eastAsia" w:ascii="仿宋" w:hAnsi="仿宋" w:eastAsia="仿宋" w:cs="仿宋"/>
          <w:sz w:val="32"/>
          <w:szCs w:val="32"/>
          <w:lang w:eastAsia="zh-CN"/>
        </w:rPr>
        <w:t>此外，经常性组织廉政教育、警示教育，组织全局干部职工观看警示教育片《住建之蠹》，召开作风建设工作部署会</w:t>
      </w:r>
      <w:r>
        <w:rPr>
          <w:rFonts w:hint="eastAsia" w:ascii="仿宋" w:hAnsi="仿宋" w:eastAsia="仿宋" w:cs="仿宋"/>
          <w:sz w:val="32"/>
          <w:szCs w:val="32"/>
          <w:lang w:val="en-US" w:eastAsia="zh-CN"/>
        </w:rPr>
        <w:t>8次，学习各类典型案例通报5次，</w:t>
      </w:r>
      <w:r>
        <w:rPr>
          <w:rFonts w:hint="eastAsia" w:ascii="仿宋" w:hAnsi="仿宋" w:eastAsia="仿宋" w:cs="仿宋"/>
          <w:sz w:val="32"/>
          <w:szCs w:val="32"/>
          <w:lang w:eastAsia="zh-CN"/>
        </w:rPr>
        <w:t>大力敲响党规党纪“警示钟”，以身边案例、身边教训警示全体党员干部慎独慎微、慎言慎行。</w:t>
      </w:r>
    </w:p>
    <w:p w14:paraId="58B0D2EA">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default" w:ascii="仿宋" w:hAnsi="仿宋" w:eastAsia="仿宋" w:cs="仿宋"/>
          <w:sz w:val="32"/>
          <w:szCs w:val="32"/>
          <w:lang w:val="en-US" w:eastAsia="zh-CN"/>
        </w:rPr>
      </w:pPr>
      <w:r>
        <w:rPr>
          <w:rFonts w:hint="eastAsia" w:ascii="楷体_GB2312" w:hAnsi="楷体_GB2312" w:eastAsia="楷体_GB2312" w:cs="楷体_GB2312"/>
          <w:b/>
          <w:bCs/>
          <w:sz w:val="32"/>
          <w:szCs w:val="32"/>
          <w:lang w:eastAsia="zh-CN"/>
        </w:rPr>
        <w:t>（二）坚持优质服务，强化督导考核，优化营商环境</w:t>
      </w:r>
    </w:p>
    <w:p w14:paraId="0ED12F7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1、依托江西省企业登记网络服务平台“一网通办”平台，继续拓展无纸全程电子化登记适用范围，不断完善内资企业设立、变更、注销登记服务一体化办理流程，已实现各类企业及分支机构登记无纸化。</w:t>
      </w:r>
    </w:p>
    <w:p w14:paraId="7F6BC21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2、对不涉及前置许可的大型企业分支机构、连锁门店执照信息变更试点“集中管理、统一申办”。上半年为江西洪兴大药房连锁有限公司在辖区内的四家门店集中统一办理了经营范围变更业务。</w:t>
      </w:r>
    </w:p>
    <w:p w14:paraId="11FC9DB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3、开展地方特色经营范围公示工作，引导企业办理特色经营范围公示业务。上半年为南昌豫章赣绣手工绣有限公司公示该公司特色经营范围“赣绣（豫章绣）制作、销售，赣绣（豫章绣）技术交流”。</w:t>
      </w:r>
    </w:p>
    <w:p w14:paraId="395338B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深入推进歇业备案制度。打破以往“一刀切”注销退市模式，为处于经营困难期的市场主体提供“一对一”指导服务，上半年引导辖区内3家企业办理了歇业登记，给市场主体喘息休养、转型升级留足时间和空间。</w:t>
      </w:r>
    </w:p>
    <w:p w14:paraId="2C32241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5、优化破产企业变更流程，落实《关于优化办理破产清算（强制清算）企业相关登记事项的意见（试行）》，推动破产重整企业登记便利化。</w:t>
      </w:r>
    </w:p>
    <w:p w14:paraId="6BF277F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（三）坚持人民至上，聚焦民生关切，抓好底线工作</w:t>
      </w:r>
    </w:p>
    <w:p w14:paraId="1240AE2A">
      <w:pPr>
        <w:pStyle w:val="9"/>
        <w:keepNext w:val="0"/>
        <w:keepLines w:val="0"/>
        <w:pageBreakBefore w:val="0"/>
        <w:numPr>
          <w:ilvl w:val="0"/>
          <w:numId w:val="0"/>
        </w:numPr>
        <w:kinsoku/>
        <w:wordWrap/>
        <w:overflowPunct/>
        <w:topLinePunct w:val="0"/>
        <w:autoSpaceDE/>
        <w:autoSpaceDN/>
        <w:bidi w:val="0"/>
        <w:adjustRightInd/>
        <w:spacing w:line="600" w:lineRule="exact"/>
        <w:ind w:firstLine="643" w:firstLineChars="200"/>
        <w:jc w:val="left"/>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1.严守食品安全底线。</w:t>
      </w:r>
      <w:r>
        <w:rPr>
          <w:rFonts w:hint="eastAsia" w:ascii="仿宋" w:hAnsi="仿宋" w:eastAsia="仿宋" w:cs="仿宋"/>
          <w:sz w:val="32"/>
          <w:szCs w:val="32"/>
          <w:shd w:val="clear" w:color="auto" w:fill="auto"/>
          <w:lang w:val="en-US" w:eastAsia="zh-CN"/>
        </w:rPr>
        <w:t>根据《江西省市场监管局办公室关于加强食用农产品销售者落实进货查验记录监管工作的通知》部署，对农产</w:t>
      </w:r>
      <w:r>
        <w:rPr>
          <w:rFonts w:hint="eastAsia" w:ascii="仿宋" w:hAnsi="仿宋" w:eastAsia="仿宋" w:cs="仿宋"/>
          <w:sz w:val="32"/>
          <w:szCs w:val="32"/>
          <w:lang w:val="en-US" w:eastAsia="zh-CN"/>
        </w:rPr>
        <w:t>品集中交易市场开办者，销售者发《告知书》，签订《承诺书》。做好监督抽检工作，</w:t>
      </w:r>
      <w:r>
        <w:rPr>
          <w:rFonts w:hint="eastAsia" w:ascii="仿宋" w:hAnsi="仿宋" w:eastAsia="仿宋" w:cs="仿宋"/>
          <w:sz w:val="32"/>
          <w:szCs w:val="32"/>
          <w:lang w:eastAsia="zh-CN"/>
        </w:rPr>
        <w:t>印发了《</w:t>
      </w:r>
      <w:r>
        <w:rPr>
          <w:rFonts w:hint="eastAsia" w:ascii="仿宋" w:hAnsi="仿宋" w:eastAsia="仿宋" w:cs="仿宋"/>
          <w:sz w:val="32"/>
          <w:szCs w:val="32"/>
          <w:lang w:val="en-US" w:eastAsia="zh-CN"/>
        </w:rPr>
        <w:t>2023年东湖区抽检工作方案</w:t>
      </w:r>
      <w:r>
        <w:rPr>
          <w:rFonts w:hint="eastAsia" w:ascii="仿宋" w:hAnsi="仿宋" w:eastAsia="仿宋" w:cs="仿宋"/>
          <w:sz w:val="32"/>
          <w:szCs w:val="32"/>
          <w:lang w:eastAsia="zh-CN"/>
        </w:rPr>
        <w:t>》，按照市局均衡推进要求，截至当前，共抽检</w:t>
      </w:r>
      <w:r>
        <w:rPr>
          <w:rFonts w:hint="eastAsia" w:ascii="仿宋" w:hAnsi="仿宋" w:eastAsia="仿宋" w:cs="仿宋"/>
          <w:sz w:val="32"/>
          <w:szCs w:val="32"/>
          <w:lang w:val="en-US" w:eastAsia="zh-CN"/>
        </w:rPr>
        <w:t>683批次，达61.1%，不合格食品21批次，抽检不合格率3.07%，按时完成不合格食品核查处置10批次，有序推进快检实施型机构建设，按要求推进大米重金属镉等监督性快检和农贸市场日常快检工作。</w:t>
      </w:r>
    </w:p>
    <w:p w14:paraId="6A368B69">
      <w:pPr>
        <w:pStyle w:val="9"/>
        <w:keepNext w:val="0"/>
        <w:keepLines w:val="0"/>
        <w:pageBreakBefore w:val="0"/>
        <w:numPr>
          <w:ilvl w:val="0"/>
          <w:numId w:val="0"/>
        </w:numPr>
        <w:kinsoku/>
        <w:wordWrap/>
        <w:overflowPunct/>
        <w:topLinePunct w:val="0"/>
        <w:autoSpaceDE/>
        <w:autoSpaceDN/>
        <w:bidi w:val="0"/>
        <w:adjustRightInd/>
        <w:spacing w:line="600" w:lineRule="exact"/>
        <w:ind w:firstLine="643" w:firstLineChars="200"/>
        <w:jc w:val="left"/>
        <w:rPr>
          <w:rFonts w:hint="eastAsia" w:ascii="仿宋" w:hAnsi="仿宋" w:eastAsia="仿宋" w:cs="仿宋"/>
          <w:color w:val="000000"/>
          <w:sz w:val="32"/>
          <w:szCs w:val="32"/>
          <w:lang w:val="en-US" w:eastAsia="zh-CN"/>
        </w:rPr>
      </w:pPr>
      <w:r>
        <w:rPr>
          <w:rFonts w:hint="eastAsia" w:ascii="仿宋" w:hAnsi="仿宋" w:eastAsia="仿宋" w:cs="仿宋"/>
          <w:b/>
          <w:bCs/>
          <w:sz w:val="32"/>
          <w:szCs w:val="32"/>
          <w:lang w:val="en-US" w:eastAsia="zh-CN"/>
        </w:rPr>
        <w:t>2.严守药品、化妆品安全底线。（1）药品领域。</w:t>
      </w:r>
      <w:r>
        <w:rPr>
          <w:rFonts w:hint="eastAsia" w:ascii="仿宋" w:hAnsi="仿宋" w:eastAsia="仿宋" w:cs="仿宋"/>
          <w:sz w:val="32"/>
          <w:szCs w:val="32"/>
          <w:lang w:eastAsia="zh-CN"/>
        </w:rPr>
        <w:t>辖区14</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家药品零售企业、318家医疗机构（重点对8家三级甲等医院）的监管频次增加。</w:t>
      </w:r>
      <w:r>
        <w:rPr>
          <w:rFonts w:hint="eastAsia" w:ascii="仿宋" w:hAnsi="仿宋" w:eastAsia="仿宋" w:cs="仿宋"/>
          <w:sz w:val="32"/>
          <w:szCs w:val="32"/>
          <w:lang w:val="en-US" w:eastAsia="zh-CN"/>
        </w:rPr>
        <w:t>要求企业及时自查，上交自查报告。</w:t>
      </w:r>
      <w:r>
        <w:rPr>
          <w:rFonts w:hint="eastAsia" w:ascii="仿宋" w:hAnsi="仿宋" w:eastAsia="仿宋" w:cs="仿宋"/>
          <w:sz w:val="32"/>
          <w:szCs w:val="32"/>
          <w:lang w:eastAsia="zh-CN"/>
        </w:rPr>
        <w:t>重视投诉举报、协查办案在发现案源上的地位，针对投诉举报、协查函中反映的违法行为及时立案查处，</w:t>
      </w:r>
      <w:r>
        <w:rPr>
          <w:rFonts w:hint="eastAsia" w:ascii="仿宋" w:hAnsi="仿宋" w:eastAsia="仿宋" w:cs="仿宋"/>
          <w:sz w:val="32"/>
          <w:szCs w:val="32"/>
          <w:lang w:val="en-US" w:eastAsia="zh-CN"/>
        </w:rPr>
        <w:t>截至目前，共处理投诉举报1起，立案3起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对疫苗接种单位进行全覆盖检查，截至目前，共检查1家疾控中心、5家疫苗接种单位及2家医疗机构，出动执法人员18人次。</w:t>
      </w:r>
      <w:r>
        <w:rPr>
          <w:rFonts w:hint="eastAsia" w:ascii="仿宋" w:hAnsi="仿宋" w:eastAsia="仿宋" w:cs="仿宋"/>
          <w:sz w:val="32"/>
          <w:szCs w:val="32"/>
        </w:rPr>
        <w:t>根据省市局要求，及时部署药品抽验任务</w:t>
      </w:r>
      <w:r>
        <w:rPr>
          <w:rFonts w:hint="eastAsia" w:ascii="仿宋" w:hAnsi="仿宋" w:eastAsia="仿宋" w:cs="仿宋"/>
          <w:sz w:val="32"/>
          <w:szCs w:val="32"/>
          <w:lang w:eastAsia="zh-CN"/>
        </w:rPr>
        <w:t>，</w:t>
      </w: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年药品抽验省计划40批次，20</w:t>
      </w:r>
      <w:r>
        <w:rPr>
          <w:rFonts w:hint="eastAsia" w:ascii="仿宋" w:hAnsi="仿宋" w:eastAsia="仿宋" w:cs="仿宋"/>
          <w:sz w:val="32"/>
          <w:szCs w:val="32"/>
          <w:lang w:val="en-US" w:eastAsia="zh-CN"/>
        </w:rPr>
        <w:t>23</w:t>
      </w:r>
      <w:r>
        <w:rPr>
          <w:rFonts w:hint="eastAsia" w:ascii="仿宋" w:hAnsi="仿宋" w:eastAsia="仿宋" w:cs="仿宋"/>
          <w:sz w:val="32"/>
          <w:szCs w:val="32"/>
        </w:rPr>
        <w:t>年上半年制定抽检计划，合理部署培训药品抽检工作，</w:t>
      </w:r>
      <w:r>
        <w:rPr>
          <w:rFonts w:hint="eastAsia" w:ascii="仿宋" w:hAnsi="仿宋" w:eastAsia="仿宋" w:cs="仿宋"/>
          <w:sz w:val="32"/>
          <w:szCs w:val="32"/>
          <w:lang w:val="en-US" w:eastAsia="zh-CN"/>
        </w:rPr>
        <w:t>已完成20批次。</w:t>
      </w:r>
      <w:r>
        <w:rPr>
          <w:rFonts w:hint="eastAsia" w:ascii="仿宋" w:hAnsi="仿宋" w:eastAsia="仿宋" w:cs="仿宋"/>
          <w:b/>
          <w:bCs/>
          <w:sz w:val="32"/>
          <w:szCs w:val="32"/>
          <w:lang w:val="en-US" w:eastAsia="zh-CN"/>
        </w:rPr>
        <w:t>（2）化妆品领域。</w:t>
      </w:r>
      <w:r>
        <w:rPr>
          <w:rFonts w:hint="eastAsia" w:ascii="仿宋" w:hAnsi="仿宋" w:eastAsia="仿宋" w:cs="仿宋"/>
          <w:color w:val="000000"/>
          <w:sz w:val="32"/>
          <w:szCs w:val="32"/>
          <w:lang w:eastAsia="zh-CN"/>
        </w:rPr>
        <w:t>建立</w:t>
      </w:r>
      <w:r>
        <w:rPr>
          <w:rFonts w:hint="eastAsia" w:ascii="仿宋" w:hAnsi="仿宋" w:eastAsia="仿宋" w:cs="仿宋"/>
          <w:color w:val="000000"/>
          <w:sz w:val="32"/>
          <w:szCs w:val="32"/>
          <w:lang w:val="en-US" w:eastAsia="zh-CN"/>
        </w:rPr>
        <w:t>了</w:t>
      </w:r>
      <w:r>
        <w:rPr>
          <w:rFonts w:hint="eastAsia" w:ascii="仿宋" w:hAnsi="仿宋" w:eastAsia="仿宋" w:cs="仿宋"/>
          <w:color w:val="000000"/>
          <w:sz w:val="32"/>
          <w:szCs w:val="32"/>
          <w:lang w:eastAsia="zh-CN"/>
        </w:rPr>
        <w:t>美容机构、专卖店等经营单位信息档案。</w:t>
      </w:r>
      <w:r>
        <w:rPr>
          <w:rFonts w:hint="eastAsia" w:ascii="仿宋" w:hAnsi="仿宋" w:eastAsia="仿宋" w:cs="仿宋"/>
          <w:kern w:val="2"/>
          <w:sz w:val="32"/>
          <w:szCs w:val="32"/>
          <w:lang w:val="en-US" w:eastAsia="zh-CN" w:bidi="ar-SA"/>
        </w:rPr>
        <w:t>对</w:t>
      </w:r>
      <w:r>
        <w:rPr>
          <w:rFonts w:hint="eastAsia" w:ascii="仿宋" w:hAnsi="仿宋" w:eastAsia="仿宋" w:cs="仿宋"/>
          <w:color w:val="000000"/>
          <w:sz w:val="32"/>
          <w:szCs w:val="32"/>
        </w:rPr>
        <w:t>美容机构</w:t>
      </w:r>
      <w:r>
        <w:rPr>
          <w:rFonts w:hint="eastAsia" w:ascii="仿宋" w:hAnsi="仿宋" w:eastAsia="仿宋" w:cs="仿宋"/>
          <w:color w:val="000000"/>
          <w:sz w:val="32"/>
          <w:szCs w:val="32"/>
          <w:lang w:eastAsia="zh-CN"/>
        </w:rPr>
        <w:t>和专卖店经营</w:t>
      </w:r>
      <w:r>
        <w:rPr>
          <w:rFonts w:hint="eastAsia" w:ascii="仿宋" w:hAnsi="仿宋" w:eastAsia="仿宋" w:cs="仿宋"/>
          <w:color w:val="000000"/>
          <w:sz w:val="32"/>
          <w:szCs w:val="32"/>
        </w:rPr>
        <w:t>祛斑</w:t>
      </w:r>
      <w:r>
        <w:rPr>
          <w:rFonts w:hint="eastAsia" w:ascii="仿宋" w:hAnsi="仿宋" w:eastAsia="仿宋" w:cs="仿宋"/>
          <w:color w:val="000000"/>
          <w:sz w:val="32"/>
          <w:szCs w:val="32"/>
          <w:lang w:eastAsia="zh-CN"/>
        </w:rPr>
        <w:t>美白、</w:t>
      </w:r>
      <w:r>
        <w:rPr>
          <w:rFonts w:hint="eastAsia" w:ascii="仿宋" w:hAnsi="仿宋" w:eastAsia="仿宋" w:cs="仿宋"/>
          <w:color w:val="000000"/>
          <w:sz w:val="32"/>
          <w:szCs w:val="32"/>
        </w:rPr>
        <w:t>祛痘类化妆品的产品合法性、标签</w:t>
      </w:r>
      <w:r>
        <w:rPr>
          <w:rFonts w:hint="eastAsia" w:ascii="仿宋" w:hAnsi="仿宋" w:eastAsia="仿宋" w:cs="仿宋"/>
          <w:color w:val="000000"/>
          <w:sz w:val="32"/>
          <w:szCs w:val="32"/>
          <w:lang w:eastAsia="zh-CN"/>
        </w:rPr>
        <w:t>标识</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进货查验、</w:t>
      </w:r>
      <w:r>
        <w:rPr>
          <w:rFonts w:hint="eastAsia" w:ascii="仿宋" w:hAnsi="仿宋" w:eastAsia="仿宋" w:cs="仿宋"/>
          <w:color w:val="000000"/>
          <w:sz w:val="32"/>
          <w:szCs w:val="32"/>
        </w:rPr>
        <w:t>台账管理和产品质量等</w:t>
      </w:r>
      <w:r>
        <w:rPr>
          <w:rFonts w:hint="eastAsia" w:ascii="仿宋" w:hAnsi="仿宋" w:eastAsia="仿宋" w:cs="仿宋"/>
          <w:color w:val="000000"/>
          <w:sz w:val="32"/>
          <w:szCs w:val="32"/>
          <w:lang w:eastAsia="zh-CN"/>
        </w:rPr>
        <w:t>5个</w:t>
      </w:r>
      <w:r>
        <w:rPr>
          <w:rFonts w:hint="eastAsia" w:ascii="仿宋" w:hAnsi="仿宋" w:eastAsia="仿宋" w:cs="仿宋"/>
          <w:color w:val="000000"/>
          <w:sz w:val="32"/>
          <w:szCs w:val="32"/>
        </w:rPr>
        <w:t>方面进行</w:t>
      </w:r>
      <w:r>
        <w:rPr>
          <w:rFonts w:hint="eastAsia" w:ascii="仿宋" w:hAnsi="仿宋" w:eastAsia="仿宋" w:cs="仿宋"/>
          <w:color w:val="000000"/>
          <w:sz w:val="32"/>
          <w:szCs w:val="32"/>
          <w:lang w:eastAsia="zh-CN"/>
        </w:rPr>
        <w:t>全面</w:t>
      </w:r>
      <w:r>
        <w:rPr>
          <w:rFonts w:hint="eastAsia" w:ascii="仿宋" w:hAnsi="仿宋" w:eastAsia="仿宋" w:cs="仿宋"/>
          <w:color w:val="000000"/>
          <w:sz w:val="32"/>
          <w:szCs w:val="32"/>
        </w:rPr>
        <w:t>检查</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截至目前，共检查了12家美容机构和11家专卖店，出动检查人员49人次。5月22日，协助江西省美妆志愿者联盟于滕王阁街道开展美妆助力化妆品宣传周，5月26日，在百盛商场开展“安全用妆，共治共享”化妆品安全科普宣传周活动，累计参与人数200余人次，发放宣传单、宣传手册150份，现场接受消费者咨询50余人次。</w:t>
      </w:r>
    </w:p>
    <w:p w14:paraId="79C7F81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kern w:val="0"/>
          <w:sz w:val="32"/>
          <w:szCs w:val="32"/>
        </w:rPr>
      </w:pPr>
      <w:r>
        <w:rPr>
          <w:rFonts w:hint="eastAsia" w:ascii="仿宋" w:hAnsi="仿宋" w:eastAsia="仿宋" w:cs="仿宋"/>
          <w:b/>
          <w:bCs/>
          <w:color w:val="000000"/>
          <w:sz w:val="32"/>
          <w:szCs w:val="32"/>
          <w:lang w:val="en-US" w:eastAsia="zh-CN"/>
        </w:rPr>
        <w:t>3.严守特种设备安全底线。</w:t>
      </w:r>
      <w:r>
        <w:rPr>
          <w:rFonts w:hint="eastAsia" w:ascii="仿宋" w:hAnsi="仿宋" w:eastAsia="仿宋" w:cs="仿宋"/>
          <w:bCs/>
          <w:sz w:val="32"/>
          <w:szCs w:val="32"/>
        </w:rPr>
        <w:t>坚持安全第一、预防为主、节能环保、综合治理的工作原则，</w:t>
      </w:r>
      <w:r>
        <w:rPr>
          <w:rFonts w:hint="eastAsia" w:ascii="仿宋" w:hAnsi="仿宋" w:eastAsia="仿宋" w:cs="仿宋"/>
          <w:b/>
          <w:bCs/>
          <w:kern w:val="0"/>
          <w:sz w:val="32"/>
          <w:szCs w:val="32"/>
        </w:rPr>
        <w:t>岁末年初特种设备安全生产重大隐患专项整治和督导检查工作</w:t>
      </w:r>
      <w:r>
        <w:rPr>
          <w:rFonts w:hint="eastAsia" w:ascii="仿宋" w:hAnsi="仿宋" w:eastAsia="仿宋" w:cs="仿宋"/>
          <w:b/>
          <w:bCs/>
          <w:kern w:val="0"/>
          <w:sz w:val="32"/>
          <w:szCs w:val="32"/>
          <w:lang w:eastAsia="zh-CN"/>
        </w:rPr>
        <w:t>，</w:t>
      </w:r>
      <w:r>
        <w:rPr>
          <w:rFonts w:hint="eastAsia" w:ascii="仿宋" w:hAnsi="仿宋" w:eastAsia="仿宋" w:cs="仿宋"/>
          <w:kern w:val="0"/>
          <w:sz w:val="32"/>
          <w:szCs w:val="32"/>
        </w:rPr>
        <w:t>成立专项督导检查组11个，检查特种设备使用单位22家，设备50台/套，发现安全隐患 5条，整改到位5条。</w:t>
      </w:r>
      <w:r>
        <w:rPr>
          <w:rFonts w:hint="eastAsia" w:ascii="仿宋" w:hAnsi="仿宋" w:eastAsia="仿宋" w:cs="仿宋"/>
          <w:b/>
          <w:bCs/>
          <w:kern w:val="0"/>
          <w:sz w:val="32"/>
          <w:szCs w:val="32"/>
        </w:rPr>
        <w:t>开展特种设备领域“两无”非法行为专项治理行动</w:t>
      </w:r>
      <w:r>
        <w:rPr>
          <w:rFonts w:hint="eastAsia" w:ascii="仿宋" w:hAnsi="仿宋" w:eastAsia="仿宋" w:cs="仿宋"/>
          <w:b/>
          <w:bCs/>
          <w:kern w:val="0"/>
          <w:sz w:val="32"/>
          <w:szCs w:val="32"/>
          <w:lang w:eastAsia="zh-CN"/>
        </w:rPr>
        <w:t>，</w:t>
      </w:r>
      <w:r>
        <w:rPr>
          <w:rFonts w:hint="eastAsia" w:ascii="仿宋" w:hAnsi="仿宋" w:eastAsia="仿宋" w:cs="仿宋"/>
          <w:kern w:val="0"/>
          <w:sz w:val="32"/>
          <w:szCs w:val="32"/>
        </w:rPr>
        <w:t>203家特种设备使用单位开展了“两无”非法行为的自查自纠，未发现有假证，无证或证件过期等违法行为。此次专项检查共出动安全监察人员174人次，共检查使用单位87家，共发现安全隐患5条，已整改到位4条，正在整改1条。下达安全监察指令书2份。</w:t>
      </w:r>
      <w:r>
        <w:rPr>
          <w:rFonts w:hint="eastAsia" w:ascii="仿宋" w:hAnsi="仿宋" w:eastAsia="仿宋" w:cs="仿宋"/>
          <w:b/>
          <w:kern w:val="0"/>
          <w:sz w:val="32"/>
          <w:szCs w:val="32"/>
        </w:rPr>
        <w:t>大力开展“安全生产月”系列活动</w:t>
      </w:r>
      <w:r>
        <w:rPr>
          <w:rFonts w:hint="eastAsia" w:ascii="仿宋" w:hAnsi="仿宋" w:eastAsia="仿宋" w:cs="仿宋"/>
          <w:b/>
          <w:kern w:val="0"/>
          <w:sz w:val="32"/>
          <w:szCs w:val="32"/>
          <w:lang w:eastAsia="zh-CN"/>
        </w:rPr>
        <w:t>，</w:t>
      </w:r>
      <w:r>
        <w:rPr>
          <w:rFonts w:hint="eastAsia" w:ascii="仿宋" w:hAnsi="仿宋" w:eastAsia="仿宋" w:cs="仿宋"/>
          <w:kern w:val="0"/>
          <w:sz w:val="32"/>
          <w:szCs w:val="32"/>
        </w:rPr>
        <w:t>从5月30日开始对</w:t>
      </w:r>
      <w:r>
        <w:rPr>
          <w:rFonts w:hint="eastAsia" w:ascii="仿宋" w:hAnsi="仿宋" w:eastAsia="仿宋" w:cs="仿宋"/>
          <w:kern w:val="0"/>
          <w:sz w:val="32"/>
          <w:szCs w:val="32"/>
          <w:lang w:eastAsia="zh-CN"/>
        </w:rPr>
        <w:t>辖区</w:t>
      </w:r>
      <w:r>
        <w:rPr>
          <w:rFonts w:hint="eastAsia" w:ascii="仿宋" w:hAnsi="仿宋" w:eastAsia="仿宋" w:cs="仿宋"/>
          <w:kern w:val="0"/>
          <w:sz w:val="32"/>
          <w:szCs w:val="32"/>
        </w:rPr>
        <w:t>5家企业开展了形式多样的应急救援演练活动，并对各相关企业开展了专项监督检查</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共开展应急救援演练活动5场，参与人员45人次，悬挂条幅5个，开展宣讲活动5场，参与人员24人次，发放宣传单740余份。</w:t>
      </w:r>
    </w:p>
    <w:p w14:paraId="2581BC8A">
      <w:pPr>
        <w:pStyle w:val="3"/>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left"/>
        <w:textAlignment w:val="auto"/>
        <w:rPr>
          <w:rFonts w:ascii="仿宋" w:hAnsi="仿宋" w:eastAsia="仿宋" w:cs="仿宋_GB2312"/>
          <w:sz w:val="32"/>
          <w:szCs w:val="32"/>
          <w:shd w:val="clear" w:color="auto" w:fill="FFFFFF"/>
          <w:lang w:bidi="ar"/>
        </w:rPr>
      </w:pPr>
      <w:r>
        <w:rPr>
          <w:rFonts w:hint="eastAsia" w:ascii="仿宋" w:hAnsi="仿宋" w:eastAsia="仿宋" w:cs="仿宋"/>
          <w:b/>
          <w:bCs/>
          <w:kern w:val="0"/>
          <w:sz w:val="32"/>
          <w:szCs w:val="32"/>
          <w:lang w:val="en-US" w:eastAsia="zh-CN"/>
        </w:rPr>
        <w:t>4.严守产品质量安全底线。</w:t>
      </w:r>
      <w:r>
        <w:rPr>
          <w:rFonts w:hint="eastAsia" w:ascii="仿宋" w:hAnsi="仿宋" w:eastAsia="仿宋"/>
          <w:b/>
          <w:bCs/>
          <w:sz w:val="32"/>
          <w:szCs w:val="32"/>
        </w:rPr>
        <w:t>组织开展了校园及周边治安环境集中整治工作，</w:t>
      </w:r>
      <w:r>
        <w:rPr>
          <w:rFonts w:hint="eastAsia" w:ascii="仿宋" w:hAnsi="仿宋" w:eastAsia="仿宋"/>
          <w:sz w:val="32"/>
          <w:szCs w:val="32"/>
        </w:rPr>
        <w:t>查处</w:t>
      </w:r>
      <w:r>
        <w:rPr>
          <w:rFonts w:ascii="仿宋" w:hAnsi="仿宋" w:eastAsia="仿宋"/>
          <w:sz w:val="32"/>
          <w:szCs w:val="32"/>
        </w:rPr>
        <w:t>无</w:t>
      </w:r>
      <w:r>
        <w:rPr>
          <w:rFonts w:hint="eastAsia" w:ascii="仿宋" w:hAnsi="仿宋" w:eastAsia="仿宋"/>
          <w:sz w:val="32"/>
          <w:szCs w:val="32"/>
        </w:rPr>
        <w:t>3</w:t>
      </w:r>
      <w:r>
        <w:rPr>
          <w:rFonts w:ascii="仿宋" w:hAnsi="仿宋" w:eastAsia="仿宋"/>
          <w:sz w:val="32"/>
          <w:szCs w:val="32"/>
        </w:rPr>
        <w:t>C</w:t>
      </w:r>
      <w:r>
        <w:rPr>
          <w:rFonts w:hint="eastAsia" w:ascii="仿宋" w:hAnsi="仿宋" w:eastAsia="仿宋"/>
          <w:sz w:val="32"/>
          <w:szCs w:val="32"/>
        </w:rPr>
        <w:t>、假冒伪劣以及“三无”等质量</w:t>
      </w:r>
      <w:r>
        <w:rPr>
          <w:rFonts w:ascii="仿宋" w:hAnsi="仿宋" w:eastAsia="仿宋"/>
          <w:sz w:val="32"/>
          <w:szCs w:val="32"/>
        </w:rPr>
        <w:t>违法行</w:t>
      </w:r>
      <w:r>
        <w:rPr>
          <w:rFonts w:hint="eastAsia" w:ascii="仿宋" w:hAnsi="仿宋" w:eastAsia="仿宋"/>
          <w:sz w:val="32"/>
          <w:szCs w:val="32"/>
        </w:rPr>
        <w:t>为</w:t>
      </w:r>
      <w:r>
        <w:rPr>
          <w:rFonts w:hint="eastAsia" w:ascii="仿宋" w:hAnsi="仿宋" w:eastAsia="仿宋"/>
          <w:sz w:val="32"/>
          <w:szCs w:val="32"/>
          <w:lang w:eastAsia="zh-CN"/>
        </w:rPr>
        <w:t>，</w:t>
      </w:r>
      <w:r>
        <w:rPr>
          <w:rFonts w:ascii="仿宋" w:hAnsi="仿宋" w:eastAsia="仿宋"/>
          <w:sz w:val="32"/>
          <w:szCs w:val="32"/>
        </w:rPr>
        <w:t>共出</w:t>
      </w:r>
      <w:r>
        <w:rPr>
          <w:rFonts w:hint="eastAsia" w:ascii="仿宋" w:hAnsi="仿宋" w:eastAsia="仿宋"/>
          <w:sz w:val="32"/>
          <w:szCs w:val="32"/>
        </w:rPr>
        <w:t>动</w:t>
      </w:r>
      <w:r>
        <w:rPr>
          <w:rFonts w:ascii="仿宋" w:hAnsi="仿宋" w:eastAsia="仿宋"/>
          <w:sz w:val="32"/>
          <w:szCs w:val="32"/>
        </w:rPr>
        <w:t>执法人员126</w:t>
      </w:r>
      <w:r>
        <w:rPr>
          <w:rFonts w:hint="eastAsia" w:ascii="仿宋" w:hAnsi="仿宋" w:eastAsia="仿宋"/>
          <w:sz w:val="32"/>
          <w:szCs w:val="32"/>
        </w:rPr>
        <w:t>人</w:t>
      </w:r>
      <w:r>
        <w:rPr>
          <w:rFonts w:ascii="仿宋" w:hAnsi="仿宋" w:eastAsia="仿宋"/>
          <w:sz w:val="32"/>
          <w:szCs w:val="32"/>
        </w:rPr>
        <w:t>次，检查校园周边</w:t>
      </w:r>
      <w:r>
        <w:rPr>
          <w:rFonts w:hint="eastAsia" w:ascii="仿宋" w:hAnsi="仿宋" w:eastAsia="仿宋"/>
          <w:sz w:val="32"/>
          <w:szCs w:val="32"/>
        </w:rPr>
        <w:t>学生</w:t>
      </w:r>
      <w:r>
        <w:rPr>
          <w:rFonts w:ascii="仿宋" w:hAnsi="仿宋" w:eastAsia="仿宋"/>
          <w:sz w:val="32"/>
          <w:szCs w:val="32"/>
        </w:rPr>
        <w:t>用品、儿童玩具</w:t>
      </w:r>
      <w:r>
        <w:rPr>
          <w:rFonts w:hint="eastAsia" w:ascii="仿宋" w:hAnsi="仿宋" w:eastAsia="仿宋"/>
          <w:sz w:val="32"/>
          <w:szCs w:val="32"/>
        </w:rPr>
        <w:t>等产品</w:t>
      </w:r>
      <w:r>
        <w:rPr>
          <w:rFonts w:ascii="仿宋" w:hAnsi="仿宋" w:eastAsia="仿宋"/>
          <w:sz w:val="32"/>
          <w:szCs w:val="32"/>
        </w:rPr>
        <w:t>经营</w:t>
      </w:r>
      <w:r>
        <w:rPr>
          <w:rFonts w:hint="eastAsia" w:ascii="仿宋" w:hAnsi="仿宋" w:eastAsia="仿宋"/>
          <w:sz w:val="32"/>
          <w:szCs w:val="32"/>
        </w:rPr>
        <w:t>户</w:t>
      </w:r>
      <w:r>
        <w:rPr>
          <w:rFonts w:ascii="仿宋" w:hAnsi="仿宋" w:eastAsia="仿宋"/>
          <w:sz w:val="32"/>
          <w:szCs w:val="32"/>
        </w:rPr>
        <w:t>4</w:t>
      </w:r>
      <w:r>
        <w:rPr>
          <w:rFonts w:hint="eastAsia" w:ascii="仿宋" w:hAnsi="仿宋" w:eastAsia="仿宋"/>
          <w:sz w:val="32"/>
          <w:szCs w:val="32"/>
        </w:rPr>
        <w:t>2户。同时开展了“守护儿童安全 远离产品伤害”儿童用品安全行主题宣传活动</w:t>
      </w:r>
      <w:r>
        <w:rPr>
          <w:rFonts w:hint="eastAsia" w:ascii="仿宋" w:hAnsi="仿宋" w:eastAsia="仿宋"/>
          <w:sz w:val="32"/>
          <w:szCs w:val="32"/>
          <w:lang w:eastAsia="zh-CN"/>
        </w:rPr>
        <w:t>，</w:t>
      </w:r>
      <w:r>
        <w:rPr>
          <w:rFonts w:hint="eastAsia" w:ascii="仿宋" w:hAnsi="仿宋" w:eastAsia="仿宋"/>
          <w:sz w:val="32"/>
          <w:szCs w:val="32"/>
        </w:rPr>
        <w:t>活动当</w:t>
      </w:r>
      <w:r>
        <w:rPr>
          <w:rFonts w:ascii="仿宋" w:hAnsi="仿宋" w:eastAsia="仿宋"/>
          <w:sz w:val="32"/>
          <w:szCs w:val="32"/>
        </w:rPr>
        <w:t>天</w:t>
      </w:r>
      <w:r>
        <w:rPr>
          <w:rFonts w:hint="eastAsia" w:ascii="仿宋" w:hAnsi="仿宋" w:eastAsia="仿宋"/>
          <w:sz w:val="32"/>
          <w:szCs w:val="32"/>
        </w:rPr>
        <w:t>共发放儿童用品安全宣传册和消费提示100多份。</w:t>
      </w:r>
      <w:r>
        <w:rPr>
          <w:rFonts w:hint="eastAsia" w:ascii="仿宋" w:hAnsi="仿宋" w:eastAsia="仿宋"/>
          <w:b/>
          <w:bCs/>
          <w:sz w:val="32"/>
          <w:szCs w:val="32"/>
        </w:rPr>
        <w:t>深入</w:t>
      </w:r>
      <w:r>
        <w:rPr>
          <w:rFonts w:ascii="仿宋" w:hAnsi="仿宋" w:eastAsia="仿宋"/>
          <w:b/>
          <w:bCs/>
          <w:sz w:val="32"/>
          <w:szCs w:val="32"/>
        </w:rPr>
        <w:t>推进</w:t>
      </w:r>
      <w:r>
        <w:rPr>
          <w:rFonts w:hint="eastAsia" w:ascii="仿宋" w:hAnsi="仿宋" w:eastAsia="仿宋" w:cs="仿宋_GB2312"/>
          <w:b/>
          <w:bCs/>
          <w:sz w:val="32"/>
          <w:szCs w:val="32"/>
        </w:rPr>
        <w:t>道路交通安全综合治理工作</w:t>
      </w:r>
      <w:r>
        <w:rPr>
          <w:rFonts w:hint="eastAsia" w:ascii="仿宋" w:hAnsi="仿宋" w:eastAsia="仿宋" w:cs="仿宋_GB2312"/>
          <w:b/>
          <w:bCs/>
          <w:sz w:val="32"/>
          <w:szCs w:val="32"/>
          <w:lang w:eastAsia="zh-CN"/>
        </w:rPr>
        <w:t>，</w:t>
      </w:r>
      <w:r>
        <w:rPr>
          <w:rFonts w:hint="eastAsia" w:ascii="仿宋" w:hAnsi="仿宋" w:eastAsia="仿宋" w:cstheme="minorBidi"/>
          <w:sz w:val="32"/>
          <w:szCs w:val="32"/>
        </w:rPr>
        <w:t>组织</w:t>
      </w:r>
      <w:r>
        <w:rPr>
          <w:rFonts w:hint="eastAsia" w:ascii="仿宋" w:hAnsi="仿宋" w:eastAsia="仿宋" w:cs="仿宋_GB2312"/>
          <w:sz w:val="32"/>
          <w:szCs w:val="32"/>
          <w:shd w:val="clear" w:color="auto" w:fill="FFFFFF"/>
          <w:lang w:bidi="ar"/>
        </w:rPr>
        <w:t>开展</w:t>
      </w:r>
      <w:r>
        <w:rPr>
          <w:rFonts w:hint="eastAsia" w:ascii="仿宋" w:hAnsi="仿宋" w:eastAsia="仿宋" w:cstheme="minorBidi"/>
          <w:sz w:val="32"/>
          <w:szCs w:val="32"/>
        </w:rPr>
        <w:t>电动自行车及配件、老年代步车</w:t>
      </w:r>
      <w:r>
        <w:rPr>
          <w:rFonts w:ascii="仿宋" w:hAnsi="仿宋" w:eastAsia="仿宋" w:cstheme="minorBidi"/>
          <w:sz w:val="32"/>
          <w:szCs w:val="32"/>
        </w:rPr>
        <w:t>等产品的质量监督</w:t>
      </w:r>
      <w:r>
        <w:rPr>
          <w:rFonts w:hint="eastAsia" w:ascii="仿宋" w:hAnsi="仿宋" w:eastAsia="仿宋" w:cstheme="minorBidi"/>
          <w:sz w:val="32"/>
          <w:szCs w:val="32"/>
        </w:rPr>
        <w:t>检</w:t>
      </w:r>
      <w:r>
        <w:rPr>
          <w:rFonts w:ascii="仿宋" w:hAnsi="仿宋" w:eastAsia="仿宋" w:cstheme="minorBidi"/>
          <w:sz w:val="32"/>
          <w:szCs w:val="32"/>
        </w:rPr>
        <w:t>查，</w:t>
      </w:r>
      <w:r>
        <w:rPr>
          <w:rFonts w:hint="eastAsia" w:ascii="仿宋" w:hAnsi="仿宋" w:eastAsia="仿宋" w:cstheme="minorBidi"/>
          <w:sz w:val="32"/>
          <w:szCs w:val="32"/>
        </w:rPr>
        <w:t>严厉打击</w:t>
      </w:r>
      <w:r>
        <w:rPr>
          <w:rFonts w:ascii="仿宋" w:hAnsi="仿宋" w:eastAsia="仿宋" w:cstheme="minorBidi"/>
          <w:sz w:val="32"/>
          <w:szCs w:val="32"/>
        </w:rPr>
        <w:t>无照经营</w:t>
      </w:r>
      <w:r>
        <w:rPr>
          <w:rFonts w:hint="eastAsia" w:ascii="仿宋" w:hAnsi="仿宋" w:eastAsia="仿宋" w:cstheme="minorBidi"/>
          <w:sz w:val="32"/>
          <w:szCs w:val="32"/>
        </w:rPr>
        <w:t>、</w:t>
      </w:r>
      <w:r>
        <w:rPr>
          <w:rFonts w:ascii="仿宋" w:hAnsi="仿宋" w:eastAsia="仿宋" w:cstheme="minorBidi"/>
          <w:sz w:val="32"/>
          <w:szCs w:val="32"/>
        </w:rPr>
        <w:t>无</w:t>
      </w:r>
      <w:r>
        <w:rPr>
          <w:rFonts w:hint="eastAsia" w:ascii="仿宋" w:hAnsi="仿宋" w:eastAsia="仿宋" w:cstheme="minorBidi"/>
          <w:sz w:val="32"/>
          <w:szCs w:val="32"/>
        </w:rPr>
        <w:t>3</w:t>
      </w:r>
      <w:r>
        <w:rPr>
          <w:rFonts w:ascii="仿宋" w:hAnsi="仿宋" w:eastAsia="仿宋" w:cstheme="minorBidi"/>
          <w:sz w:val="32"/>
          <w:szCs w:val="32"/>
        </w:rPr>
        <w:t>C</w:t>
      </w:r>
      <w:r>
        <w:rPr>
          <w:rFonts w:hint="eastAsia" w:ascii="仿宋" w:hAnsi="仿宋" w:eastAsia="仿宋" w:cstheme="minorBidi"/>
          <w:sz w:val="32"/>
          <w:szCs w:val="32"/>
        </w:rPr>
        <w:t>证</w:t>
      </w:r>
      <w:r>
        <w:rPr>
          <w:rFonts w:ascii="仿宋" w:hAnsi="仿宋" w:eastAsia="仿宋" w:cstheme="minorBidi"/>
          <w:sz w:val="32"/>
          <w:szCs w:val="32"/>
        </w:rPr>
        <w:t>书和非法</w:t>
      </w:r>
      <w:r>
        <w:rPr>
          <w:rFonts w:hint="eastAsia" w:ascii="仿宋" w:hAnsi="仿宋" w:eastAsia="仿宋" w:cstheme="minorBidi"/>
          <w:sz w:val="32"/>
          <w:szCs w:val="32"/>
        </w:rPr>
        <w:t>拼</w:t>
      </w:r>
      <w:r>
        <w:rPr>
          <w:rFonts w:ascii="仿宋" w:hAnsi="仿宋" w:eastAsia="仿宋" w:cstheme="minorBidi"/>
          <w:sz w:val="32"/>
          <w:szCs w:val="32"/>
        </w:rPr>
        <w:t>改装</w:t>
      </w:r>
      <w:r>
        <w:rPr>
          <w:rFonts w:hint="eastAsia" w:ascii="仿宋" w:hAnsi="仿宋" w:eastAsia="仿宋" w:cstheme="minorBidi"/>
          <w:sz w:val="32"/>
          <w:szCs w:val="32"/>
        </w:rPr>
        <w:t>行为</w:t>
      </w:r>
      <w:r>
        <w:rPr>
          <w:rFonts w:hint="eastAsia" w:ascii="仿宋" w:hAnsi="仿宋" w:eastAsia="仿宋" w:cstheme="minorBidi"/>
          <w:sz w:val="32"/>
          <w:szCs w:val="32"/>
          <w:lang w:eastAsia="zh-CN"/>
        </w:rPr>
        <w:t>，</w:t>
      </w:r>
      <w:r>
        <w:rPr>
          <w:rFonts w:hint="eastAsia" w:ascii="仿宋" w:hAnsi="仿宋" w:eastAsia="仿宋" w:cs="仿宋_GB2312"/>
          <w:sz w:val="32"/>
          <w:szCs w:val="32"/>
          <w:shd w:val="clear" w:color="auto" w:fill="FFFFFF"/>
          <w:lang w:bidi="ar"/>
        </w:rPr>
        <w:t>共出动执法人员</w:t>
      </w:r>
      <w:r>
        <w:rPr>
          <w:rFonts w:ascii="仿宋" w:hAnsi="仿宋" w:eastAsia="仿宋" w:cstheme="minorBidi"/>
          <w:sz w:val="32"/>
          <w:szCs w:val="32"/>
          <w:shd w:val="clear" w:color="auto" w:fill="FFFFFF"/>
          <w:lang w:bidi="ar"/>
        </w:rPr>
        <w:t>130</w:t>
      </w:r>
      <w:r>
        <w:rPr>
          <w:rFonts w:hint="eastAsia" w:ascii="仿宋" w:hAnsi="仿宋" w:eastAsia="仿宋" w:cs="仿宋_GB2312"/>
          <w:sz w:val="32"/>
          <w:szCs w:val="32"/>
          <w:shd w:val="clear" w:color="auto" w:fill="FFFFFF"/>
          <w:lang w:bidi="ar"/>
        </w:rPr>
        <w:t>余人次</w:t>
      </w:r>
      <w:r>
        <w:rPr>
          <w:rFonts w:ascii="仿宋" w:hAnsi="仿宋" w:eastAsia="仿宋" w:cstheme="minorBidi"/>
          <w:sz w:val="32"/>
          <w:szCs w:val="32"/>
          <w:shd w:val="clear" w:color="auto" w:fill="FFFFFF"/>
          <w:lang w:bidi="ar"/>
        </w:rPr>
        <w:t>,</w:t>
      </w:r>
      <w:r>
        <w:rPr>
          <w:rFonts w:hint="eastAsia" w:ascii="仿宋" w:hAnsi="仿宋" w:eastAsia="仿宋" w:cs="仿宋_GB2312"/>
          <w:sz w:val="32"/>
          <w:szCs w:val="32"/>
          <w:shd w:val="clear" w:color="auto" w:fill="FFFFFF"/>
          <w:lang w:bidi="ar"/>
        </w:rPr>
        <w:t>对辖区</w:t>
      </w:r>
      <w:r>
        <w:rPr>
          <w:rFonts w:ascii="仿宋" w:hAnsi="仿宋" w:eastAsia="仿宋" w:cstheme="minorBidi"/>
          <w:sz w:val="32"/>
          <w:szCs w:val="32"/>
          <w:shd w:val="clear" w:color="auto" w:fill="FFFFFF"/>
          <w:lang w:bidi="ar"/>
        </w:rPr>
        <w:t>34</w:t>
      </w:r>
      <w:r>
        <w:rPr>
          <w:rFonts w:hint="eastAsia" w:ascii="仿宋" w:hAnsi="仿宋" w:eastAsia="仿宋" w:cs="仿宋_GB2312"/>
          <w:sz w:val="32"/>
          <w:szCs w:val="32"/>
          <w:shd w:val="clear" w:color="auto" w:fill="FFFFFF"/>
          <w:lang w:bidi="ar"/>
        </w:rPr>
        <w:t>家电动自</w:t>
      </w:r>
      <w:r>
        <w:rPr>
          <w:rFonts w:ascii="仿宋" w:hAnsi="仿宋" w:eastAsia="仿宋" w:cs="仿宋_GB2312"/>
          <w:sz w:val="32"/>
          <w:szCs w:val="32"/>
          <w:shd w:val="clear" w:color="auto" w:fill="FFFFFF"/>
          <w:lang w:bidi="ar"/>
        </w:rPr>
        <w:t>行</w:t>
      </w:r>
      <w:r>
        <w:rPr>
          <w:rFonts w:hint="eastAsia" w:ascii="仿宋" w:hAnsi="仿宋" w:eastAsia="仿宋" w:cs="仿宋_GB2312"/>
          <w:sz w:val="32"/>
          <w:szCs w:val="32"/>
          <w:shd w:val="clear" w:color="auto" w:fill="FFFFFF"/>
          <w:lang w:bidi="ar"/>
        </w:rPr>
        <w:t>车经营户进行了监督检查。与</w:t>
      </w:r>
      <w:r>
        <w:rPr>
          <w:rFonts w:ascii="仿宋" w:hAnsi="仿宋" w:eastAsia="仿宋" w:cs="仿宋_GB2312"/>
          <w:sz w:val="32"/>
          <w:szCs w:val="32"/>
          <w:shd w:val="clear" w:color="auto" w:fill="FFFFFF"/>
          <w:lang w:bidi="ar"/>
        </w:rPr>
        <w:t>49</w:t>
      </w:r>
      <w:r>
        <w:rPr>
          <w:rFonts w:hint="eastAsia" w:ascii="仿宋" w:hAnsi="仿宋" w:eastAsia="仿宋" w:cs="仿宋_GB2312"/>
          <w:sz w:val="32"/>
          <w:szCs w:val="32"/>
          <w:shd w:val="clear" w:color="auto" w:fill="FFFFFF"/>
          <w:lang w:bidi="ar"/>
        </w:rPr>
        <w:t>家</w:t>
      </w:r>
      <w:r>
        <w:rPr>
          <w:rFonts w:ascii="仿宋" w:hAnsi="仿宋" w:eastAsia="仿宋" w:cs="仿宋_GB2312"/>
          <w:sz w:val="32"/>
          <w:szCs w:val="32"/>
          <w:shd w:val="clear" w:color="auto" w:fill="FFFFFF"/>
          <w:lang w:bidi="ar"/>
        </w:rPr>
        <w:t>电动自行车经营</w:t>
      </w:r>
      <w:r>
        <w:rPr>
          <w:rFonts w:hint="eastAsia" w:ascii="仿宋" w:hAnsi="仿宋" w:eastAsia="仿宋" w:cs="仿宋_GB2312"/>
          <w:sz w:val="32"/>
          <w:szCs w:val="32"/>
          <w:shd w:val="clear" w:color="auto" w:fill="FFFFFF"/>
          <w:lang w:bidi="ar"/>
        </w:rPr>
        <w:t>、</w:t>
      </w:r>
      <w:r>
        <w:rPr>
          <w:rFonts w:ascii="仿宋" w:hAnsi="仿宋" w:eastAsia="仿宋" w:cs="仿宋_GB2312"/>
          <w:sz w:val="32"/>
          <w:szCs w:val="32"/>
          <w:shd w:val="clear" w:color="auto" w:fill="FFFFFF"/>
          <w:lang w:bidi="ar"/>
        </w:rPr>
        <w:t>维修户签订了</w:t>
      </w:r>
      <w:r>
        <w:rPr>
          <w:rFonts w:hint="eastAsia" w:ascii="仿宋" w:hAnsi="仿宋" w:eastAsia="仿宋" w:cs="仿宋_GB2312"/>
          <w:sz w:val="32"/>
          <w:szCs w:val="32"/>
          <w:shd w:val="clear" w:color="auto" w:fill="FFFFFF"/>
          <w:lang w:bidi="ar"/>
        </w:rPr>
        <w:t>《守法</w:t>
      </w:r>
      <w:r>
        <w:rPr>
          <w:rFonts w:ascii="仿宋" w:hAnsi="仿宋" w:eastAsia="仿宋" w:cs="仿宋_GB2312"/>
          <w:sz w:val="32"/>
          <w:szCs w:val="32"/>
          <w:shd w:val="clear" w:color="auto" w:fill="FFFFFF"/>
          <w:lang w:bidi="ar"/>
        </w:rPr>
        <w:t>经营承诺书</w:t>
      </w:r>
      <w:r>
        <w:rPr>
          <w:rFonts w:hint="eastAsia" w:ascii="仿宋" w:hAnsi="仿宋" w:eastAsia="仿宋" w:cs="仿宋_GB2312"/>
          <w:sz w:val="32"/>
          <w:szCs w:val="32"/>
          <w:shd w:val="clear" w:color="auto" w:fill="FFFFFF"/>
          <w:lang w:bidi="ar"/>
        </w:rPr>
        <w:t>》，并在</w:t>
      </w:r>
      <w:r>
        <w:rPr>
          <w:rFonts w:ascii="仿宋" w:hAnsi="仿宋" w:eastAsia="仿宋" w:cs="仿宋_GB2312"/>
          <w:sz w:val="32"/>
          <w:szCs w:val="32"/>
          <w:shd w:val="clear" w:color="auto" w:fill="FFFFFF"/>
          <w:lang w:bidi="ar"/>
        </w:rPr>
        <w:t>店内张贴公示</w:t>
      </w:r>
      <w:r>
        <w:rPr>
          <w:rFonts w:hint="eastAsia" w:ascii="仿宋" w:hAnsi="仿宋" w:eastAsia="仿宋" w:cs="仿宋_GB2312"/>
          <w:sz w:val="32"/>
          <w:szCs w:val="32"/>
          <w:shd w:val="clear" w:color="auto" w:fill="FFFFFF"/>
          <w:lang w:bidi="ar"/>
        </w:rPr>
        <w:t>。</w:t>
      </w:r>
      <w:r>
        <w:rPr>
          <w:rFonts w:hint="eastAsia" w:ascii="仿宋" w:hAnsi="仿宋" w:eastAsia="仿宋"/>
          <w:b/>
          <w:bCs/>
          <w:sz w:val="32"/>
          <w:szCs w:val="32"/>
        </w:rPr>
        <w:t>开展了农资产品质量监管，</w:t>
      </w:r>
      <w:r>
        <w:rPr>
          <w:rFonts w:hint="eastAsia" w:ascii="仿宋" w:hAnsi="仿宋" w:eastAsia="仿宋"/>
          <w:sz w:val="32"/>
          <w:szCs w:val="32"/>
        </w:rPr>
        <w:t>保障“春耕备耕”，规范农资经营行为，共出动执法人员8人次，检查化肥农资经营户2户。</w:t>
      </w:r>
      <w:r>
        <w:rPr>
          <w:rFonts w:hint="eastAsia" w:ascii="仿宋" w:hAnsi="仿宋" w:eastAsia="仿宋"/>
          <w:b/>
          <w:bCs/>
          <w:sz w:val="32"/>
          <w:szCs w:val="32"/>
        </w:rPr>
        <w:t>逐步推行企业首席质量官制度试点工作，</w:t>
      </w:r>
      <w:r>
        <w:rPr>
          <w:rFonts w:hint="eastAsia" w:ascii="仿宋" w:hAnsi="仿宋" w:eastAsia="仿宋"/>
          <w:sz w:val="32"/>
          <w:szCs w:val="32"/>
        </w:rPr>
        <w:t>组织企业参加“首席质量官”线上培训，系统学习卓越绩效模式、企业质量文化建设、品牌管理等课程。</w:t>
      </w:r>
    </w:p>
    <w:p w14:paraId="31442AC6">
      <w:pPr>
        <w:pStyle w:val="10"/>
        <w:keepNext w:val="0"/>
        <w:keepLines w:val="0"/>
        <w:pageBreakBefore w:val="0"/>
        <w:widowControl w:val="0"/>
        <w:tabs>
          <w:tab w:val="left" w:pos="1418"/>
        </w:tabs>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（四）坚持监管创新，聚焦重点关键，维护市场秩序</w:t>
      </w:r>
    </w:p>
    <w:p w14:paraId="507EAF2E">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1.</w:t>
      </w:r>
      <w:r>
        <w:rPr>
          <w:rFonts w:hint="eastAsia" w:ascii="仿宋" w:hAnsi="仿宋" w:eastAsia="仿宋" w:cs="仿宋"/>
          <w:b/>
          <w:bCs/>
          <w:sz w:val="32"/>
          <w:szCs w:val="32"/>
          <w:lang w:eastAsia="zh-CN"/>
        </w:rPr>
        <w:t>结合文明城创建、食安城创建工作，常态化开展督导检查。</w:t>
      </w:r>
      <w:r>
        <w:rPr>
          <w:rFonts w:hint="eastAsia" w:ascii="仿宋" w:hAnsi="仿宋" w:eastAsia="仿宋" w:cs="仿宋"/>
          <w:sz w:val="32"/>
          <w:szCs w:val="32"/>
          <w:lang w:eastAsia="zh-CN"/>
        </w:rPr>
        <w:t>积极与属地街办、市场主体开展联合整治，重点整治了千花伴花鸟市场和青山南路花鸟市场占道经营、杂物堆放、环境卫生和公厕提升等问题，同时督导水产市场等做好农残检测公示、食品安全、环境卫生、禁止活禽宰杀等工作。</w:t>
      </w:r>
    </w:p>
    <w:p w14:paraId="786A81DC">
      <w:pPr>
        <w:pStyle w:val="2"/>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2.持续加大扫黑除恶斗争工作力度。</w:t>
      </w:r>
      <w:r>
        <w:rPr>
          <w:rFonts w:hint="eastAsia" w:ascii="仿宋" w:hAnsi="仿宋" w:eastAsia="仿宋" w:cs="仿宋"/>
          <w:kern w:val="2"/>
          <w:sz w:val="32"/>
          <w:szCs w:val="32"/>
          <w:lang w:val="en-US" w:eastAsia="zh-CN" w:bidi="ar-SA"/>
        </w:rPr>
        <w:t>在新的起点上持续推进市场流通领域常态化扫黑除恶斗争工作。加大对传销、强买强卖、欺行霸市的打击力度，进一步严厉打击哄抬物价、网络黑恶违法犯罪、生产销售假冒伪劣产品等市场流通领域的违法行为，做到扫黑除恶工作与日常工作同研究、同部署、同推进、同落实，形成了全员行动、上下联动、齐抓共管，深入推进长效常治制度机制建设，着力推动扫黑除恶工作常态化。</w:t>
      </w:r>
    </w:p>
    <w:p w14:paraId="614B87EC">
      <w:pPr>
        <w:pStyle w:val="2"/>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b/>
          <w:bCs/>
          <w:kern w:val="2"/>
          <w:sz w:val="32"/>
          <w:szCs w:val="32"/>
          <w:lang w:val="en-US" w:eastAsia="zh-CN" w:bidi="ar-SA"/>
        </w:rPr>
        <w:t>3.</w:t>
      </w:r>
      <w:r>
        <w:rPr>
          <w:rFonts w:hint="eastAsia" w:ascii="仿宋" w:hAnsi="仿宋" w:eastAsia="仿宋" w:cs="仿宋"/>
          <w:b/>
          <w:bCs/>
          <w:sz w:val="32"/>
          <w:szCs w:val="32"/>
          <w:lang w:val="en-US" w:eastAsia="zh-CN"/>
        </w:rPr>
        <w:t>开展“重合同、守信用”企业公示工作。</w:t>
      </w:r>
      <w:r>
        <w:rPr>
          <w:rFonts w:hint="eastAsia" w:ascii="仿宋" w:hAnsi="仿宋" w:eastAsia="仿宋" w:cs="仿宋"/>
          <w:sz w:val="32"/>
          <w:szCs w:val="32"/>
          <w:lang w:val="en-US" w:eastAsia="zh-CN"/>
        </w:rPr>
        <w:t>充分利用市场监管部门与企业联系密切的优势，积极宣传“守合同重信用”企业申报活动的意义、目的、要求、标准。通过广泛宣传、深入发动，提升了企业诚信意识，扩大了申报活动参与面。按照上级部署，制定周密方案，组织了24家企业申请省级“守合同重信用”企业公示单位，指导企业总结、收集、整理、制作“守合同重信用”申报资料，帮助企业提高合同管理能力。</w:t>
      </w:r>
    </w:p>
    <w:p w14:paraId="23B53574">
      <w:pPr>
        <w:keepNext w:val="0"/>
        <w:keepLines w:val="0"/>
        <w:pageBreakBefore w:val="0"/>
        <w:widowControl w:val="0"/>
        <w:kinsoku/>
        <w:wordWrap/>
        <w:overflowPunct/>
        <w:topLinePunct w:val="0"/>
        <w:autoSpaceDE/>
        <w:autoSpaceDN/>
        <w:bidi w:val="0"/>
        <w:adjustRightInd/>
        <w:spacing w:line="600" w:lineRule="exact"/>
        <w:ind w:firstLine="643"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4.积极学习网监业务，推进网监工作开展。</w:t>
      </w:r>
      <w:r>
        <w:rPr>
          <w:rFonts w:hint="eastAsia" w:ascii="仿宋" w:hAnsi="仿宋" w:eastAsia="仿宋" w:cs="仿宋"/>
          <w:sz w:val="32"/>
          <w:szCs w:val="32"/>
          <w:lang w:val="en-US" w:eastAsia="zh-CN"/>
        </w:rPr>
        <w:t>严格执行《互联网广告管理暂行办法》等相关规定，严厉打击网络虚假广告、虚假表示等违法行为。加强互联网广告监管，充分发挥互联网广告监测中心的作用，强化互联网广告监测，加大对重点网站广告的监测力度，共线上检查网站、网店1500余个次，实地检查网站、网店经营者65个次，受理网络交易和服务投诉5起，营造良好的网络市场准入环境、竞争环境和消费环境。</w:t>
      </w:r>
    </w:p>
    <w:p w14:paraId="3BBB3548">
      <w:pPr>
        <w:pStyle w:val="2"/>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二、存在的主要问题</w:t>
      </w:r>
    </w:p>
    <w:p w14:paraId="16970D7B">
      <w:pPr>
        <w:pStyle w:val="2"/>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 w:hAnsi="仿宋" w:eastAsia="仿宋" w:cs="仿宋"/>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（一）监管力量有待增强。</w:t>
      </w:r>
      <w:r>
        <w:rPr>
          <w:rFonts w:hint="eastAsia" w:ascii="仿宋" w:hAnsi="仿宋" w:eastAsia="仿宋" w:cs="仿宋"/>
          <w:kern w:val="2"/>
          <w:sz w:val="32"/>
          <w:szCs w:val="32"/>
          <w:lang w:val="en-US" w:eastAsia="zh-CN" w:bidi="ar-SA"/>
        </w:rPr>
        <w:t>市场监管体制改革后，执法跨度大、难度高、专业性强，工作量急剧增大，市场监管干部队伍面临人员老龄化、人员结构断层、监管人员不足等问题。同时，乡镇监管力量薄弱，食品安全协管员队伍建设滞后，监管难以全面、及时、有效。</w:t>
      </w:r>
    </w:p>
    <w:p w14:paraId="5C89BC35">
      <w:pPr>
        <w:pStyle w:val="2"/>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 w:hAnsi="仿宋" w:eastAsia="仿宋" w:cs="仿宋"/>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（二）监管能力有待提升。</w:t>
      </w:r>
      <w:r>
        <w:rPr>
          <w:rFonts w:hint="eastAsia" w:ascii="仿宋" w:hAnsi="仿宋" w:eastAsia="仿宋" w:cs="仿宋"/>
          <w:kern w:val="2"/>
          <w:sz w:val="32"/>
          <w:szCs w:val="32"/>
          <w:lang w:val="en-US" w:eastAsia="zh-CN" w:bidi="ar-SA"/>
        </w:rPr>
        <w:t>因基层监管人员数量少，大部分都是一人身兼数职，面对食品药品、特种设备、标准计量等专业性工作，却不具备相应专业的学历背景，业务知识体系单一，在日益专业化、规范化的监管工作中捉襟见肘，严重制约和影响监管工作效果。</w:t>
      </w:r>
    </w:p>
    <w:p w14:paraId="790DD508">
      <w:pPr>
        <w:pStyle w:val="2"/>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2"/>
          <w:sz w:val="32"/>
          <w:szCs w:val="32"/>
          <w:lang w:val="en-US" w:eastAsia="zh-CN" w:bidi="ar-SA"/>
        </w:rPr>
        <w:t>（三）监管方式有待创新。</w:t>
      </w:r>
      <w:r>
        <w:rPr>
          <w:rFonts w:hint="eastAsia" w:ascii="仿宋_GB2312" w:hAnsi="仿宋_GB2312" w:eastAsia="仿宋_GB2312" w:cs="仿宋_GB2312"/>
          <w:kern w:val="2"/>
          <w:sz w:val="32"/>
          <w:szCs w:val="32"/>
          <w:lang w:val="en-US" w:eastAsia="zh-CN" w:bidi="ar-SA"/>
        </w:rPr>
        <w:t>辖区创新型企业数量少，多为餐饮行业的个体工商户，人员素质参差不齐、流动性大，经营状态不稳定，知识产权工作难以推动落实，专项监管经费、执法记录仪、快速检验检测设备等缺口较大，无法满足监管需要，严重制约监管效能的提升。</w:t>
      </w:r>
    </w:p>
    <w:p w14:paraId="66AD9C5D">
      <w:pPr>
        <w:pStyle w:val="2"/>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三、下半年工作计划</w:t>
      </w:r>
    </w:p>
    <w:p w14:paraId="65D5C1F0">
      <w:pPr>
        <w:pStyle w:val="10"/>
        <w:keepNext w:val="0"/>
        <w:keepLines w:val="0"/>
        <w:pageBreakBefore w:val="0"/>
        <w:widowControl w:val="0"/>
        <w:tabs>
          <w:tab w:val="left" w:pos="1418"/>
        </w:tabs>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（一）完善市场监管体系，营造良好营商环境</w:t>
      </w:r>
    </w:p>
    <w:p w14:paraId="765FC689">
      <w:pPr>
        <w:pStyle w:val="10"/>
        <w:keepNext w:val="0"/>
        <w:keepLines w:val="0"/>
        <w:pageBreakBefore w:val="0"/>
        <w:widowControl w:val="0"/>
        <w:tabs>
          <w:tab w:val="left" w:pos="1418"/>
        </w:tabs>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一是加强事中事后监管,推进部门联合监管，做好“双随机、一公开”结果公示和信息共享，落实政府主导、市场监管牵头、部门联合推进的工作机制，维护市场秩序，提高市场监管效能。二是强化市场价格监管。加强涉企收费、行业价格监管,维护公平竞争</w:t>
      </w:r>
      <w:bookmarkStart w:id="0" w:name="_GoBack"/>
      <w:bookmarkEnd w:id="0"/>
      <w:r>
        <w:rPr>
          <w:rFonts w:hint="eastAsia" w:ascii="仿宋" w:hAnsi="仿宋" w:eastAsia="仿宋"/>
          <w:sz w:val="32"/>
          <w:szCs w:val="32"/>
          <w:lang w:val="en-US" w:eastAsia="zh-CN"/>
        </w:rPr>
        <w:t>的市场环境。三是落实“铁拳行动”，对商业贿赂、虚假宣传、不正当竞争等行为依法严厉查处。深入开展药品、金融、房地产、保健食品领域虚假违法广告整治。将专利、商标、企业名称注册与知识产权保护、打击侵权假冒结合起来，形成联动查处格局。</w:t>
      </w:r>
    </w:p>
    <w:p w14:paraId="6238BEB1">
      <w:pPr>
        <w:pStyle w:val="10"/>
        <w:keepNext w:val="0"/>
        <w:keepLines w:val="0"/>
        <w:pageBreakBefore w:val="0"/>
        <w:widowControl w:val="0"/>
        <w:tabs>
          <w:tab w:val="left" w:pos="1418"/>
        </w:tabs>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（二）加大食品药械监管，防范食药品安全风险</w:t>
      </w:r>
    </w:p>
    <w:p w14:paraId="16390D4C">
      <w:pPr>
        <w:pStyle w:val="10"/>
        <w:keepNext w:val="0"/>
        <w:keepLines w:val="0"/>
        <w:pageBreakBefore w:val="0"/>
        <w:widowControl w:val="0"/>
        <w:tabs>
          <w:tab w:val="left" w:pos="1418"/>
        </w:tabs>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一是坚持“四个最严”要求,突出“一老一小”重点人群，</w:t>
      </w:r>
    </w:p>
    <w:p w14:paraId="611E450F">
      <w:pPr>
        <w:pStyle w:val="10"/>
        <w:keepNext w:val="0"/>
        <w:keepLines w:val="0"/>
        <w:pageBreakBefore w:val="0"/>
        <w:widowControl w:val="0"/>
        <w:tabs>
          <w:tab w:val="left" w:pos="1418"/>
        </w:tabs>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城乡结合部、农村等重点区域，粮油批发市场、水产品批发市场、农贸市场、大型商场超市等重点场所，开展食品安全攻坚行动，严厉打击食品安全违法行为。二是从严整治非法渠道购药、制售假药劣药、执业药师“挂证”、超范围经营药品等违法行为。三是实施“互联网+食品”监管，充分利用“赣溯源”平台和智慧监管平台，健全食药监管人员培训考核制度，加强专业化食药检查员队伍建设，提高食品药品监管水平。</w:t>
      </w:r>
    </w:p>
    <w:p w14:paraId="3AC8DE54">
      <w:pPr>
        <w:pStyle w:val="10"/>
        <w:keepNext w:val="0"/>
        <w:keepLines w:val="0"/>
        <w:pageBreakBefore w:val="0"/>
        <w:widowControl w:val="0"/>
        <w:tabs>
          <w:tab w:val="left" w:pos="1418"/>
        </w:tabs>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（三）强化党建工作，推进监管队伍建设</w:t>
      </w:r>
    </w:p>
    <w:p w14:paraId="0CBD9EA1">
      <w:pPr>
        <w:pStyle w:val="10"/>
        <w:keepNext w:val="0"/>
        <w:keepLines w:val="0"/>
        <w:pageBreakBefore w:val="0"/>
        <w:widowControl w:val="0"/>
        <w:tabs>
          <w:tab w:val="left" w:pos="1418"/>
        </w:tabs>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一是围绕主题教育，严抓党建工作。把学习贯彻习近平新时代中国特色社会主义思想作为加强党的建设的永恒课题和全体党员干部的终身课题常抓不懈，并紧紧围绕主题教育开展业务专项整治工作，以党建促业务，加强党在基层的核心领导地位，提升党建统领全局工作的效能。二是以考核促监管,加强队伍作风建设。分管领导考核、督导机关股室、分局的业务工作，局监察办联合派驻纪检监察组督查全局干部职工的纪律作风，以督查强化干部职工积极向上的工作主动性,以考核增强干部职工干事创业的精气神，全面推进市场监管工作取得实效。</w:t>
      </w:r>
    </w:p>
    <w:p w14:paraId="7F463CE0">
      <w:pPr>
        <w:pStyle w:val="4"/>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四、对政府工作的意见和建议</w:t>
      </w:r>
    </w:p>
    <w:p w14:paraId="5A052AE2">
      <w:pPr>
        <w:pStyle w:val="10"/>
        <w:keepNext w:val="0"/>
        <w:keepLines w:val="0"/>
        <w:pageBreakBefore w:val="0"/>
        <w:widowControl w:val="0"/>
        <w:numPr>
          <w:ilvl w:val="0"/>
          <w:numId w:val="0"/>
        </w:numPr>
        <w:tabs>
          <w:tab w:val="left" w:pos="1418"/>
        </w:tabs>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无</w:t>
      </w:r>
    </w:p>
    <w:p w14:paraId="59CAADA2">
      <w:pPr>
        <w:pStyle w:val="10"/>
        <w:tabs>
          <w:tab w:val="left" w:pos="1418"/>
        </w:tabs>
        <w:ind w:firstLine="848" w:firstLineChars="265"/>
        <w:rPr>
          <w:rFonts w:hint="eastAsia" w:ascii="仿宋" w:hAnsi="仿宋" w:eastAsia="仿宋"/>
          <w:sz w:val="32"/>
          <w:szCs w:val="32"/>
          <w:lang w:val="en-US" w:eastAsia="zh-CN"/>
        </w:rPr>
      </w:pPr>
    </w:p>
    <w:p w14:paraId="026A1908">
      <w:pPr>
        <w:pStyle w:val="10"/>
        <w:tabs>
          <w:tab w:val="left" w:pos="1418"/>
        </w:tabs>
        <w:ind w:left="0" w:leftChars="0" w:firstLine="0" w:firstLineChars="0"/>
        <w:rPr>
          <w:rFonts w:hint="eastAsia" w:ascii="仿宋" w:hAnsi="仿宋" w:eastAsia="仿宋"/>
          <w:sz w:val="32"/>
          <w:szCs w:val="32"/>
          <w:lang w:val="en-US" w:eastAsia="zh-CN"/>
        </w:rPr>
      </w:pPr>
    </w:p>
    <w:p w14:paraId="389512AA">
      <w:pPr>
        <w:pStyle w:val="10"/>
        <w:tabs>
          <w:tab w:val="left" w:pos="1418"/>
        </w:tabs>
        <w:jc w:val="center"/>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                      2023年6月28日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Tahoma">
    <w:altName w:val="noto sans thai"/>
    <w:panose1 w:val="020B0604030504040204"/>
    <w:charset w:val="00"/>
    <w:family w:val="auto"/>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OTQ1NTI3MjdmZTg5OTY0NzI1ZDkyZmRlMzczODMifQ=="/>
  </w:docVars>
  <w:rsids>
    <w:rsidRoot w:val="00000000"/>
    <w:rsid w:val="0A2A4E8B"/>
    <w:rsid w:val="10A731E2"/>
    <w:rsid w:val="3D7C1698"/>
    <w:rsid w:val="4DFD2A30"/>
    <w:rsid w:val="5618117F"/>
    <w:rsid w:val="6572775C"/>
    <w:rsid w:val="6979016E"/>
    <w:rsid w:val="70C76378"/>
    <w:rsid w:val="77AB254F"/>
    <w:rsid w:val="7BCF6098"/>
    <w:rsid w:val="7EE61C05"/>
    <w:rsid w:val="7FB7DF1D"/>
    <w:rsid w:val="AFBFFB83"/>
    <w:rsid w:val="B3BF297E"/>
    <w:rsid w:val="DDFFCD4F"/>
    <w:rsid w:val="FEF925EC"/>
    <w:rsid w:val="FF373F9B"/>
    <w:rsid w:val="FFAF9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szCs w:val="18"/>
    </w:rPr>
  </w:style>
  <w:style w:type="paragraph" w:styleId="3">
    <w:name w:val="Body Text"/>
    <w:basedOn w:val="1"/>
    <w:next w:val="1"/>
    <w:qFormat/>
    <w:uiPriority w:val="99"/>
    <w:pPr>
      <w:spacing w:after="120"/>
    </w:pPr>
    <w:rPr>
      <w:rFonts w:ascii="Calibri" w:hAnsi="Calibri" w:eastAsia="方正仿宋_GBK" w:cs="Times New Roman"/>
    </w:rPr>
  </w:style>
  <w:style w:type="paragraph" w:styleId="4">
    <w:name w:val="Body Text First Indent"/>
    <w:basedOn w:val="3"/>
    <w:qFormat/>
    <w:uiPriority w:val="0"/>
    <w:pPr>
      <w:ind w:firstLine="420" w:firstLineChars="100"/>
    </w:pPr>
  </w:style>
  <w:style w:type="paragraph" w:customStyle="1" w:styleId="7">
    <w:name w:val="样式 行距: 固定值 28.9 磅"/>
    <w:basedOn w:val="1"/>
    <w:qFormat/>
    <w:uiPriority w:val="99"/>
    <w:pPr>
      <w:spacing w:line="578" w:lineRule="exact"/>
    </w:pPr>
    <w:rPr>
      <w:rFonts w:ascii="Times New Roman" w:hAnsi="Times New Roman"/>
      <w:sz w:val="21"/>
    </w:rPr>
  </w:style>
  <w:style w:type="paragraph" w:customStyle="1" w:styleId="8">
    <w:name w:val="样式1"/>
    <w:basedOn w:val="1"/>
    <w:qFormat/>
    <w:uiPriority w:val="0"/>
    <w:pPr>
      <w:ind w:firstLine="602" w:firstLineChars="200"/>
    </w:pPr>
    <w:rPr>
      <w:rFonts w:ascii="仿宋" w:hAnsi="仿宋" w:eastAsia="仿宋"/>
      <w:sz w:val="30"/>
      <w:szCs w:val="30"/>
    </w:rPr>
  </w:style>
  <w:style w:type="paragraph" w:customStyle="1" w:styleId="9">
    <w:name w:val="UserStyle_0"/>
    <w:qFormat/>
    <w:uiPriority w:val="0"/>
    <w:pPr>
      <w:snapToGrid w:val="0"/>
      <w:textAlignment w:val="baseline"/>
    </w:pPr>
    <w:rPr>
      <w:rFonts w:ascii="Tahoma" w:hAnsi="Tahoma" w:eastAsia="宋体" w:cs="黑体"/>
      <w:sz w:val="22"/>
      <w:szCs w:val="22"/>
      <w:lang w:val="en-US" w:eastAsia="zh-CN"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4550</Words>
  <Characters>4652</Characters>
  <Lines>0</Lines>
  <Paragraphs>0</Paragraphs>
  <TotalTime>8</TotalTime>
  <ScaleCrop>false</ScaleCrop>
  <LinksUpToDate>false</LinksUpToDate>
  <CharactersWithSpaces>4678</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2023-06-29T14:12:00Z</dcterms:created>
  <dc:creator>Administrator</dc:creator>
  <cp:lastModifiedBy>在吗借我一亿</cp:lastModifiedBy>
  <cp:lastPrinted>2023-06-30T11:19:00Z</cp:lastPrinted>
  <dcterms:modified xsi:type="dcterms:W3CDTF">2026-01-16T09:42:15Z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34A12BD41994E63CC3F24C69D322D774_43</vt:lpwstr>
  </property>
</Properties>
</file>