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F4600">
      <w:pPr>
        <w:pStyle w:val="4"/>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pacing w:val="0"/>
          <w:sz w:val="44"/>
          <w:szCs w:val="44"/>
          <w:lang w:val="en-US" w:eastAsia="zh-CN"/>
        </w:rPr>
      </w:pPr>
    </w:p>
    <w:p w14:paraId="70AE4FF9">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区市场监督管理局关于</w:t>
      </w:r>
    </w:p>
    <w:p w14:paraId="7A375ECD">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2024年法治政府建设工作情况和2025年</w:t>
      </w:r>
    </w:p>
    <w:p w14:paraId="76D816A7">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工作安排的报告</w:t>
      </w:r>
    </w:p>
    <w:p w14:paraId="7F2EEA42">
      <w:pPr>
        <w:pStyle w:val="4"/>
        <w:keepNext w:val="0"/>
        <w:keepLines w:val="0"/>
        <w:pageBreakBefore w:val="0"/>
        <w:kinsoku/>
        <w:wordWrap/>
        <w:overflowPunct/>
        <w:topLinePunct w:val="0"/>
        <w:bidi w:val="0"/>
        <w:spacing w:line="560" w:lineRule="exact"/>
        <w:jc w:val="both"/>
        <w:rPr>
          <w:rFonts w:hint="default" w:ascii="仿宋_GB2312" w:hAnsi="仿宋_GB2312" w:eastAsia="仿宋_GB2312" w:cs="仿宋_GB2312"/>
          <w:spacing w:val="-17"/>
          <w:sz w:val="32"/>
          <w:szCs w:val="32"/>
          <w:lang w:val="en-US" w:eastAsia="zh-CN"/>
        </w:rPr>
      </w:pPr>
    </w:p>
    <w:p w14:paraId="1E083F2C">
      <w:pPr>
        <w:pStyle w:val="4"/>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区委全面依法治区</w:t>
      </w:r>
      <w:r>
        <w:rPr>
          <w:rFonts w:hint="default" w:ascii="仿宋_GB2312" w:hAnsi="仿宋_GB2312" w:eastAsia="仿宋_GB2312" w:cs="仿宋_GB2312"/>
          <w:b w:val="0"/>
          <w:bCs/>
          <w:kern w:val="2"/>
          <w:sz w:val="32"/>
          <w:szCs w:val="32"/>
          <w:lang w:val="en-US" w:eastAsia="zh-CN" w:bidi="ar-SA"/>
        </w:rPr>
        <w:t>委员会：</w:t>
      </w:r>
    </w:p>
    <w:p w14:paraId="0FA30903">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default" w:ascii="仿宋_GB2312" w:hAnsi="仿宋_GB2312" w:eastAsia="仿宋_GB2312" w:cs="仿宋_GB2312"/>
          <w:b w:val="0"/>
          <w:bCs/>
          <w:kern w:val="2"/>
          <w:sz w:val="32"/>
          <w:szCs w:val="32"/>
          <w:lang w:val="en-US" w:eastAsia="zh-CN" w:bidi="ar-SA"/>
        </w:rPr>
        <w:t>202</w:t>
      </w:r>
      <w:r>
        <w:rPr>
          <w:rFonts w:hint="eastAsia" w:ascii="仿宋_GB2312" w:hAnsi="仿宋_GB2312" w:eastAsia="仿宋_GB2312" w:cs="仿宋_GB2312"/>
          <w:b w:val="0"/>
          <w:bCs/>
          <w:kern w:val="2"/>
          <w:sz w:val="32"/>
          <w:szCs w:val="32"/>
          <w:lang w:val="en-US" w:eastAsia="zh-CN" w:bidi="ar-SA"/>
        </w:rPr>
        <w:t>4</w:t>
      </w:r>
      <w:r>
        <w:rPr>
          <w:rFonts w:hint="default" w:ascii="仿宋_GB2312" w:hAnsi="仿宋_GB2312" w:eastAsia="仿宋_GB2312" w:cs="仿宋_GB2312"/>
          <w:b w:val="0"/>
          <w:bCs/>
          <w:kern w:val="2"/>
          <w:sz w:val="32"/>
          <w:szCs w:val="32"/>
          <w:lang w:val="en-US" w:eastAsia="zh-CN" w:bidi="ar-SA"/>
        </w:rPr>
        <w:t>年，</w:t>
      </w:r>
      <w:r>
        <w:rPr>
          <w:rFonts w:hint="eastAsia" w:ascii="仿宋_GB2312" w:hAnsi="仿宋_GB2312" w:eastAsia="仿宋_GB2312" w:cs="仿宋_GB2312"/>
          <w:sz w:val="32"/>
          <w:szCs w:val="32"/>
          <w:lang w:val="en-US" w:eastAsia="zh-CN"/>
        </w:rPr>
        <w:t>我局深入学习贯彻习近平法治思想，对照《东湖区2024年法治政府建设工作要点》，建立完善行政执法制度体系和工作体系</w:t>
      </w:r>
      <w:r>
        <w:rPr>
          <w:rFonts w:hint="default" w:ascii="仿宋_GB2312" w:hAnsi="仿宋_GB2312" w:eastAsia="仿宋_GB2312" w:cs="仿宋_GB2312"/>
          <w:b w:val="0"/>
          <w:bCs/>
          <w:kern w:val="2"/>
          <w:sz w:val="32"/>
          <w:szCs w:val="32"/>
          <w:lang w:val="en-US" w:eastAsia="zh-CN" w:bidi="ar-SA"/>
        </w:rPr>
        <w:t>。现将我</w:t>
      </w:r>
      <w:r>
        <w:rPr>
          <w:rFonts w:hint="eastAsia" w:ascii="仿宋_GB2312" w:hAnsi="仿宋_GB2312" w:eastAsia="仿宋_GB2312" w:cs="仿宋_GB2312"/>
          <w:b w:val="0"/>
          <w:bCs/>
          <w:kern w:val="2"/>
          <w:sz w:val="32"/>
          <w:szCs w:val="32"/>
          <w:lang w:val="en-US" w:eastAsia="zh-CN" w:bidi="ar-SA"/>
        </w:rPr>
        <w:t>局</w:t>
      </w:r>
      <w:r>
        <w:rPr>
          <w:rFonts w:hint="default" w:ascii="仿宋_GB2312" w:hAnsi="仿宋_GB2312" w:eastAsia="仿宋_GB2312" w:cs="仿宋_GB2312"/>
          <w:b w:val="0"/>
          <w:bCs/>
          <w:kern w:val="2"/>
          <w:sz w:val="32"/>
          <w:szCs w:val="32"/>
          <w:lang w:val="en-US" w:eastAsia="zh-CN" w:bidi="ar-SA"/>
        </w:rPr>
        <w:t>202</w:t>
      </w:r>
      <w:r>
        <w:rPr>
          <w:rFonts w:hint="eastAsia" w:ascii="仿宋_GB2312" w:hAnsi="仿宋_GB2312" w:eastAsia="仿宋_GB2312" w:cs="仿宋_GB2312"/>
          <w:b w:val="0"/>
          <w:bCs/>
          <w:kern w:val="2"/>
          <w:sz w:val="32"/>
          <w:szCs w:val="32"/>
          <w:lang w:val="en-US" w:eastAsia="zh-CN" w:bidi="ar-SA"/>
        </w:rPr>
        <w:t>4</w:t>
      </w:r>
      <w:r>
        <w:rPr>
          <w:rFonts w:hint="default" w:ascii="仿宋_GB2312" w:hAnsi="仿宋_GB2312" w:eastAsia="仿宋_GB2312" w:cs="仿宋_GB2312"/>
          <w:b w:val="0"/>
          <w:bCs/>
          <w:kern w:val="2"/>
          <w:sz w:val="32"/>
          <w:szCs w:val="32"/>
          <w:lang w:val="en-US" w:eastAsia="zh-CN" w:bidi="ar-SA"/>
        </w:rPr>
        <w:t>年法治政府建设工作情况和202</w:t>
      </w:r>
      <w:r>
        <w:rPr>
          <w:rFonts w:hint="eastAsia" w:ascii="仿宋_GB2312" w:hAnsi="仿宋_GB2312" w:eastAsia="仿宋_GB2312" w:cs="仿宋_GB2312"/>
          <w:b w:val="0"/>
          <w:bCs/>
          <w:kern w:val="2"/>
          <w:sz w:val="32"/>
          <w:szCs w:val="32"/>
          <w:lang w:val="en-US" w:eastAsia="zh-CN" w:bidi="ar-SA"/>
        </w:rPr>
        <w:t>5</w:t>
      </w:r>
      <w:r>
        <w:rPr>
          <w:rFonts w:hint="default" w:ascii="仿宋_GB2312" w:hAnsi="仿宋_GB2312" w:eastAsia="仿宋_GB2312" w:cs="仿宋_GB2312"/>
          <w:b w:val="0"/>
          <w:bCs/>
          <w:kern w:val="2"/>
          <w:sz w:val="32"/>
          <w:szCs w:val="32"/>
          <w:lang w:val="en-US" w:eastAsia="zh-CN" w:bidi="ar-SA"/>
        </w:rPr>
        <w:t>年工作安排报告如下。</w:t>
      </w:r>
    </w:p>
    <w:p w14:paraId="2D02C504">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CESI黑体-GB2312" w:hAnsi="CESI黑体-GB2312" w:eastAsia="CESI黑体-GB2312" w:cs="CESI黑体-GB2312"/>
          <w:b w:val="0"/>
          <w:bCs/>
          <w:kern w:val="2"/>
          <w:sz w:val="32"/>
          <w:szCs w:val="32"/>
          <w:lang w:val="en-US" w:eastAsia="zh-CN" w:bidi="ar-SA"/>
        </w:rPr>
        <w:t>一、2024年法治政府建设主要工作及成效</w:t>
      </w:r>
    </w:p>
    <w:p w14:paraId="1C151A48">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（一）加强党的领导，助力法治政府建设率先突破</w:t>
      </w:r>
    </w:p>
    <w:p w14:paraId="4D78AA95">
      <w:pPr>
        <w:pStyle w:val="4"/>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w:t>
      </w:r>
      <w:r>
        <w:rPr>
          <w:rFonts w:hint="eastAsia" w:ascii="仿宋_GB2312" w:hAnsi="仿宋_GB2312" w:eastAsia="仿宋_GB2312" w:cs="仿宋_GB2312"/>
          <w:b w:val="0"/>
          <w:bCs/>
          <w:kern w:val="2"/>
          <w:sz w:val="32"/>
          <w:szCs w:val="32"/>
          <w:lang w:val="en-US" w:eastAsia="zh-CN" w:bidi="ar-SA"/>
        </w:rPr>
        <w:t>我局持续深化习近平法治思想学习宣传，将习近平法治思想纳入党组学习计划，开展习近平法治思想专题学习，教育引导广大行政执法人员坚定拥护“两个确立”、坚决做到“两个维护”，努力锻造忠诚干净担当的行政执法队伍，不折不扣贯彻落实习近平总书记重要讲话和重要指示批示精神以及上级部门作出的重大决策部署。</w:t>
      </w:r>
    </w:p>
    <w:p w14:paraId="727FE121">
      <w:pPr>
        <w:pStyle w:val="4"/>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w:t>
      </w:r>
      <w:r>
        <w:rPr>
          <w:rFonts w:hint="eastAsia" w:ascii="仿宋_GB2312" w:hAnsi="仿宋_GB2312" w:eastAsia="仿宋_GB2312" w:cs="仿宋_GB2312"/>
          <w:b w:val="0"/>
          <w:bCs/>
          <w:kern w:val="2"/>
          <w:sz w:val="32"/>
          <w:szCs w:val="32"/>
          <w:lang w:val="en-US" w:eastAsia="zh-CN" w:bidi="ar-SA"/>
        </w:rPr>
        <w:t>我局严格执行党政主要负责人履行推进法治建设第一责任人职责、法治政府建设情况年度报告制度，根据相关工作通知，按时报送并公示相关情况。</w:t>
      </w:r>
    </w:p>
    <w:p w14:paraId="465EFCAB">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（二）提升履职效能，助力营造一流营商环境</w:t>
      </w:r>
    </w:p>
    <w:p w14:paraId="11F87B83">
      <w:pPr>
        <w:pStyle w:val="4"/>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第一，持续优化政务服务。</w:t>
      </w:r>
      <w:r>
        <w:rPr>
          <w:rFonts w:hint="eastAsia" w:ascii="仿宋_GB2312" w:hAnsi="仿宋_GB2312" w:eastAsia="仿宋_GB2312" w:cs="仿宋_GB2312"/>
          <w:b w:val="0"/>
          <w:bCs/>
          <w:kern w:val="2"/>
          <w:sz w:val="32"/>
          <w:szCs w:val="32"/>
          <w:lang w:val="en-US" w:eastAsia="zh-CN" w:bidi="ar-SA"/>
        </w:rPr>
        <w:t>依托全市“一照通办”平台，将部分高频涉企许可（备案）事项纳入“一照通办”平台，打造营业执照和后置经营许可联审联办的新审批模式。目前已整合20余个市直部门</w:t>
      </w:r>
      <w:r>
        <w:rPr>
          <w:rFonts w:hint="default" w:ascii="仿宋_GB2312" w:hAnsi="仿宋_GB2312" w:eastAsia="仿宋_GB2312" w:cs="仿宋_GB2312"/>
          <w:b w:val="0"/>
          <w:bCs/>
          <w:kern w:val="2"/>
          <w:sz w:val="32"/>
          <w:szCs w:val="32"/>
          <w:lang w:val="en-US" w:eastAsia="zh-CN" w:bidi="ar-SA"/>
        </w:rPr>
        <w:t>的</w:t>
      </w:r>
      <w:r>
        <w:rPr>
          <w:rFonts w:hint="eastAsia" w:ascii="仿宋_GB2312" w:hAnsi="仿宋_GB2312" w:eastAsia="仿宋_GB2312" w:cs="仿宋_GB2312"/>
          <w:b w:val="0"/>
          <w:bCs/>
          <w:kern w:val="2"/>
          <w:sz w:val="32"/>
          <w:szCs w:val="32"/>
          <w:lang w:val="en-US" w:eastAsia="zh-CN" w:bidi="ar-SA"/>
        </w:rPr>
        <w:t>103项高频许可事项与营业执照实行联审联办，实现一企一照、一照准营、全部涵盖，办证时间大幅缩减。</w:t>
      </w:r>
    </w:p>
    <w:p w14:paraId="7D2332A9">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第二，持续提升知识产权创造质量和运用效益。</w:t>
      </w:r>
      <w:r>
        <w:rPr>
          <w:rFonts w:hint="eastAsia" w:ascii="仿宋_GB2312" w:hAnsi="仿宋_GB2312" w:eastAsia="仿宋_GB2312" w:cs="仿宋_GB2312"/>
          <w:b w:val="0"/>
          <w:bCs/>
          <w:kern w:val="2"/>
          <w:sz w:val="32"/>
          <w:szCs w:val="32"/>
          <w:lang w:val="en-US" w:eastAsia="zh-CN" w:bidi="ar-SA"/>
        </w:rPr>
        <w:t>我局进一步推进知识产权保护，东湖区申请、注册商标持续增长，商标申请件数达1079件，商标注册件数达742件，有效注册量达11789件。指导10家医疗卫生单位、3家企业、2所科研院所申报知识产权专员，并指导东湖区企业江西天轴通讯有限公司申报江西省、南昌市重点商标指导名录。引导企业盘活知识产权资源，搭建政银企沟通对接平台，截至目前，东湖区完成专利质押融资登记额1520万元，专利质押金额飞速增长。</w:t>
      </w:r>
    </w:p>
    <w:p w14:paraId="6E8AB716">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第三，持续加强公平竞争审查工作。</w:t>
      </w:r>
      <w:r>
        <w:rPr>
          <w:rFonts w:hint="eastAsia" w:ascii="仿宋_GB2312" w:hAnsi="仿宋_GB2312" w:eastAsia="仿宋_GB2312" w:cs="仿宋_GB2312"/>
          <w:b w:val="0"/>
          <w:bCs/>
          <w:kern w:val="2"/>
          <w:sz w:val="32"/>
          <w:szCs w:val="32"/>
          <w:lang w:val="en-US" w:eastAsia="zh-CN" w:bidi="ar-SA"/>
        </w:rPr>
        <w:t>我局认真落实《公平竞争审查制度实施细则》，按照“谁出台、谁清理”的原则，组织开展自查清理，于2024年5、6、7、9、11月先后组织开展5次政策措施清理工作。</w:t>
      </w:r>
    </w:p>
    <w:p w14:paraId="0B8CD2B6">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第四，持续构建信用监管体系。</w:t>
      </w:r>
      <w:r>
        <w:rPr>
          <w:rFonts w:hint="eastAsia" w:ascii="仿宋_GB2312" w:hAnsi="仿宋_GB2312" w:eastAsia="仿宋_GB2312" w:cs="仿宋_GB2312"/>
          <w:b w:val="0"/>
          <w:bCs/>
          <w:kern w:val="2"/>
          <w:sz w:val="32"/>
          <w:szCs w:val="32"/>
          <w:lang w:val="en-US" w:eastAsia="zh-CN" w:bidi="ar-SA"/>
        </w:rPr>
        <w:t>我局依托“双随机、一公开”系统、“互联网+”监管平台，大力推进行政执法协作，督促股室及时完成检查任务并录入检查结果。在执法办案</w:t>
      </w:r>
      <w:r>
        <w:rPr>
          <w:rFonts w:hint="eastAsia" w:ascii="仿宋_GB2312" w:eastAsia="仿宋_GB2312" w:cstheme="minorBidi"/>
          <w:kern w:val="2"/>
          <w:sz w:val="32"/>
          <w:szCs w:val="32"/>
          <w:lang w:val="en-US" w:eastAsia="zh-CN" w:bidi="ar-SA"/>
        </w:rPr>
        <w:t>过程中贯彻执行《行政处罚决定书》《行政处罚信息信用修复告知书》“两书同送”工作，引导市场主体及时修复失信、重塑信用。</w:t>
      </w:r>
      <w:r>
        <w:rPr>
          <w:rFonts w:hint="eastAsia" w:ascii="仿宋_GB2312" w:hAnsi="仿宋_GB2312" w:eastAsia="仿宋_GB2312" w:cs="仿宋_GB2312"/>
          <w:b w:val="0"/>
          <w:bCs/>
          <w:kern w:val="2"/>
          <w:sz w:val="32"/>
          <w:szCs w:val="32"/>
          <w:lang w:val="en-US" w:eastAsia="zh-CN" w:bidi="ar-SA"/>
        </w:rPr>
        <w:t>按照包容审慎原则，创新建立严重违法失信企业信用修复机制。移出异常名录坚持“补报移出必查”的原则，实行统一标准、统一受理、统一归档。本年度共解除企业异常名录120户。相继有9户企业在“一处失信、处处受限”的环境中主动进行整改，申请信用修复，公示期满后抹除处罚记录。</w:t>
      </w:r>
    </w:p>
    <w:p w14:paraId="5B95679B">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第五，持续推进减免责清单的执行。</w:t>
      </w:r>
      <w:r>
        <w:rPr>
          <w:rFonts w:hint="eastAsia" w:ascii="仿宋_GB2312" w:hAnsi="仿宋_GB2312" w:eastAsia="仿宋_GB2312" w:cs="仿宋_GB2312"/>
          <w:b w:val="0"/>
          <w:bCs/>
          <w:kern w:val="2"/>
          <w:sz w:val="32"/>
          <w:szCs w:val="32"/>
          <w:lang w:val="en-US" w:eastAsia="zh-CN" w:bidi="ar-SA"/>
        </w:rPr>
        <w:t>根据《江西省市场监督管理领域从轻行政处罚清单、减轻行政处罚清单和少用慎用行政强制措施清单（1.0 版）》《南昌市市场监督管理局多领域轻微违法行为不予行政处罚清单》文件要求，我局持续推进包容审慎监管，听取行政相对人意见建议。本年度适用从轻处罚23件，减轻处罚14件，占已作出行政处罚案件总数的49%。</w:t>
      </w:r>
    </w:p>
    <w:p w14:paraId="63D42567">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（三）落实依法决策制度机制，推进高质量发展</w:t>
      </w:r>
    </w:p>
    <w:p w14:paraId="214DCFDD">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第一，配合开展行政立法。</w:t>
      </w:r>
      <w:r>
        <w:rPr>
          <w:rFonts w:hint="eastAsia" w:ascii="仿宋_GB2312" w:hAnsi="仿宋_GB2312" w:eastAsia="仿宋_GB2312" w:cs="仿宋_GB2312"/>
          <w:b w:val="0"/>
          <w:bCs/>
          <w:kern w:val="2"/>
          <w:sz w:val="32"/>
          <w:szCs w:val="32"/>
          <w:lang w:val="en-US" w:eastAsia="zh-CN" w:bidi="ar-SA"/>
        </w:rPr>
        <w:t>根据市级工作要求，从征求意见、邀请参加立法听证会、发放调查问卷三方面配合市级开展《南昌市电梯安全管理条例》立法工作。共收到江西紫星物业服务有限公司等5家物业公司反馈的意见。</w:t>
      </w:r>
    </w:p>
    <w:p w14:paraId="4ED789E4">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CESI黑体-GB2312" w:hAnsi="CESI黑体-GB2312" w:eastAsia="CESI黑体-GB2312" w:cs="CESI黑体-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第二，严格落实重大行政决策法定程序。</w:t>
      </w:r>
      <w:r>
        <w:rPr>
          <w:rFonts w:hint="eastAsia" w:ascii="仿宋_GB2312" w:hAnsi="仿宋_GB2312" w:eastAsia="仿宋_GB2312" w:cs="仿宋_GB2312"/>
          <w:b w:val="0"/>
          <w:bCs/>
          <w:kern w:val="2"/>
          <w:sz w:val="32"/>
          <w:szCs w:val="32"/>
          <w:lang w:val="en-US" w:eastAsia="zh-CN" w:bidi="ar-SA"/>
        </w:rPr>
        <w:t>我局严格执行重大行政决策法定程序，严格落实法律顾问制度、公职律师制度。我局目前共三名公职律师。今年11月，我局与江西华罡律师事务所签订法律顾问合同，相关材料已报区司法局备案。公职律师和法律顾问将参与讨论我局行政处罚审核、行政复议、行政诉讼等工作并提供法律意见。</w:t>
      </w:r>
    </w:p>
    <w:p w14:paraId="735A0DDB">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（四）整治突出问题，推进严格规范公正文明执法</w:t>
      </w:r>
    </w:p>
    <w:p w14:paraId="06A68E7D">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第一，全面落实提升行政执法质量行动计划。</w:t>
      </w:r>
      <w:r>
        <w:rPr>
          <w:rFonts w:hint="eastAsia" w:ascii="仿宋_GB2312" w:hAnsi="仿宋_GB2312" w:eastAsia="仿宋_GB2312" w:cs="仿宋_GB2312"/>
          <w:b w:val="0"/>
          <w:bCs/>
          <w:kern w:val="2"/>
          <w:sz w:val="32"/>
          <w:szCs w:val="32"/>
          <w:lang w:val="en-US" w:eastAsia="zh-CN" w:bidi="ar-SA"/>
        </w:rPr>
        <w:t>我局</w:t>
      </w:r>
      <w:r>
        <w:rPr>
          <w:rFonts w:hint="eastAsia" w:ascii="仿宋_GB2312" w:hAnsi="仿宋_GB2312" w:eastAsia="仿宋_GB2312" w:cs="仿宋_GB2312"/>
          <w:bCs/>
          <w:snapToGrid/>
          <w:kern w:val="2"/>
          <w:sz w:val="32"/>
          <w:szCs w:val="32"/>
          <w:lang w:val="en-US" w:eastAsia="zh-CN" w:bidi="ar-SA"/>
        </w:rPr>
        <w:t>贯彻落实相关文件精神，多次开展线上和线下培训、参与案卷评查工作等，提升行政执法人员能力，健全完善行政执法工作体系，加快构建行政执法协调监督工作体系，不断强化行政执法保障能力。</w:t>
      </w:r>
    </w:p>
    <w:p w14:paraId="5CE8AE13">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第二，常态化开展行政执法人员“以考促学”工作。</w:t>
      </w:r>
      <w:r>
        <w:rPr>
          <w:rFonts w:hint="eastAsia" w:ascii="仿宋_GB2312" w:hAnsi="仿宋_GB2312" w:eastAsia="仿宋_GB2312" w:cs="仿宋_GB2312"/>
          <w:bCs/>
          <w:snapToGrid/>
          <w:kern w:val="2"/>
          <w:sz w:val="32"/>
          <w:szCs w:val="32"/>
          <w:lang w:val="en-US" w:eastAsia="zh-CN" w:bidi="ar-SA"/>
        </w:rPr>
        <w:t>全局99名持执法证人员全部参与区司法局、市司法局组织的“以考促学”考试，并印发《东湖区市场监督管理局常态化开展行政执法人员“以考促学”工作方案》，督促行政执法人员提高认识，抓好学习自测，对个人成绩进行全局通报，相关结果运用在综合考核中。</w:t>
      </w:r>
    </w:p>
    <w:p w14:paraId="7B8C0EBF">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第三，开展行政执法突出问题专项整治。</w:t>
      </w:r>
      <w:r>
        <w:rPr>
          <w:rFonts w:hint="eastAsia" w:ascii="仿宋_GB2312" w:eastAsia="仿宋_GB2312" w:cstheme="minorBidi"/>
          <w:kern w:val="2"/>
          <w:sz w:val="32"/>
          <w:szCs w:val="32"/>
          <w:lang w:val="en-US" w:eastAsia="zh-CN" w:bidi="ar-SA"/>
        </w:rPr>
        <w:t>我局</w:t>
      </w:r>
      <w:r>
        <w:rPr>
          <w:rFonts w:hint="eastAsia" w:ascii="仿宋_GB2312" w:eastAsia="仿宋_GB2312" w:hAnsiTheme="minorHAnsi" w:cstheme="minorBidi"/>
          <w:kern w:val="2"/>
          <w:sz w:val="32"/>
          <w:szCs w:val="32"/>
          <w:lang w:val="en-US" w:eastAsia="zh-CN" w:bidi="ar-SA"/>
        </w:rPr>
        <w:t>综合运用提醒敦促、责令整改、责任约谈等多种方式，持续开展</w:t>
      </w:r>
      <w:r>
        <w:rPr>
          <w:rFonts w:hint="eastAsia" w:ascii="仿宋_GB2312" w:eastAsia="仿宋_GB2312" w:cstheme="minorBidi"/>
          <w:kern w:val="2"/>
          <w:sz w:val="32"/>
          <w:szCs w:val="32"/>
          <w:lang w:val="en-US" w:eastAsia="zh-CN" w:bidi="ar-SA"/>
        </w:rPr>
        <w:t>行政执法</w:t>
      </w:r>
      <w:r>
        <w:rPr>
          <w:rFonts w:hint="eastAsia" w:ascii="仿宋_GB2312" w:eastAsia="仿宋_GB2312" w:hAnsiTheme="minorHAnsi" w:cstheme="minorBidi"/>
          <w:kern w:val="2"/>
          <w:sz w:val="32"/>
          <w:szCs w:val="32"/>
          <w:lang w:val="en-US" w:eastAsia="zh-CN" w:bidi="ar-SA"/>
        </w:rPr>
        <w:t>问题排查治理，推动问题整改落实</w:t>
      </w:r>
      <w:r>
        <w:rPr>
          <w:rFonts w:hint="eastAsia" w:ascii="仿宋_GB2312" w:eastAsia="仿宋_GB2312" w:cstheme="minorBidi"/>
          <w:kern w:val="2"/>
          <w:sz w:val="32"/>
          <w:szCs w:val="32"/>
          <w:lang w:val="en-US" w:eastAsia="zh-CN" w:bidi="ar-SA"/>
        </w:rPr>
        <w:t>。</w:t>
      </w:r>
    </w:p>
    <w:p w14:paraId="0951B241">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第四，加快构建行政执法协调监督工作体系。</w:t>
      </w:r>
      <w:r>
        <w:rPr>
          <w:rFonts w:hint="eastAsia" w:ascii="仿宋_GB2312" w:hAnsi="仿宋_GB2312" w:eastAsia="仿宋_GB2312" w:cs="仿宋_GB2312"/>
          <w:bCs/>
          <w:snapToGrid/>
          <w:kern w:val="2"/>
          <w:sz w:val="32"/>
          <w:szCs w:val="32"/>
          <w:lang w:val="en-US" w:eastAsia="zh-CN" w:bidi="ar-SA"/>
        </w:rPr>
        <w:t>我局健全完善行政执法工作体系，加强行政执法部门与有关部门的协作配合，及时依法依规依纪移送行政执法过程中发现的有关问题线索。本年度共移送3件线索至纪检监察机关。我局同步答复市、区两级人民政府行政复议，共答复东湖区人民政府行政复议38件，答复南昌市人民政府行政复议52件。本年度我局无行政诉讼、被执行案件。共移送2起涉嫌犯罪案件至东湖公安分局，共接收商标侵权案件线索7起。</w:t>
      </w:r>
    </w:p>
    <w:p w14:paraId="1E4FE9F0">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（五）加强权力制约监督，推进行政权力透明运行</w:t>
      </w:r>
    </w:p>
    <w:p w14:paraId="1F96D909">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第一，健全完善信用制度规范。</w:t>
      </w:r>
      <w:r>
        <w:rPr>
          <w:rFonts w:hint="eastAsia" w:ascii="仿宋_GB2312" w:eastAsia="仿宋_GB2312" w:cstheme="minorBidi"/>
          <w:kern w:val="2"/>
          <w:sz w:val="32"/>
          <w:szCs w:val="32"/>
          <w:lang w:val="en-US" w:eastAsia="zh-CN" w:bidi="ar-SA"/>
        </w:rPr>
        <w:t>我局</w:t>
      </w:r>
      <w:r>
        <w:rPr>
          <w:rFonts w:hint="eastAsia" w:ascii="仿宋_GB2312" w:hAnsi="仿宋_GB2312" w:eastAsia="仿宋_GB2312" w:cs="仿宋_GB2312"/>
          <w:b w:val="0"/>
          <w:bCs/>
          <w:kern w:val="2"/>
          <w:sz w:val="32"/>
          <w:szCs w:val="32"/>
          <w:lang w:val="en-US" w:eastAsia="zh-CN" w:bidi="ar-SA"/>
        </w:rPr>
        <w:t>围绕发挥信用监管核心作用，构建从信息归集共享到信用分类监管再到失信联合惩戒的监管闭环。</w:t>
      </w:r>
      <w:r>
        <w:rPr>
          <w:rFonts w:hint="eastAsia" w:ascii="仿宋_GB2312" w:eastAsia="仿宋_GB2312" w:cstheme="minorBidi"/>
          <w:kern w:val="2"/>
          <w:sz w:val="32"/>
          <w:szCs w:val="32"/>
          <w:lang w:val="en-US" w:eastAsia="zh-CN" w:bidi="ar-SA"/>
        </w:rPr>
        <w:t>本年度</w:t>
      </w:r>
      <w:r>
        <w:rPr>
          <w:rFonts w:hint="eastAsia" w:ascii="仿宋_GB2312" w:eastAsia="仿宋_GB2312" w:hAnsiTheme="minorHAnsi" w:cstheme="minorBidi"/>
          <w:kern w:val="2"/>
          <w:sz w:val="32"/>
          <w:szCs w:val="32"/>
          <w:lang w:val="en-US" w:eastAsia="zh-CN" w:bidi="ar-SA"/>
        </w:rPr>
        <w:t>国家企业信用信息公示平台归集信息4138</w:t>
      </w:r>
      <w:r>
        <w:rPr>
          <w:rFonts w:hint="eastAsia" w:ascii="仿宋_GB2312" w:eastAsia="仿宋_GB2312" w:cstheme="minorBidi"/>
          <w:kern w:val="2"/>
          <w:sz w:val="32"/>
          <w:szCs w:val="32"/>
          <w:lang w:val="en-US" w:eastAsia="zh-CN" w:bidi="ar-SA"/>
        </w:rPr>
        <w:t>98</w:t>
      </w:r>
      <w:r>
        <w:rPr>
          <w:rFonts w:hint="eastAsia" w:ascii="仿宋_GB2312" w:eastAsia="仿宋_GB2312" w:hAnsiTheme="minorHAnsi" w:cstheme="minorBidi"/>
          <w:kern w:val="2"/>
          <w:sz w:val="32"/>
          <w:szCs w:val="32"/>
          <w:lang w:val="en-US" w:eastAsia="zh-CN" w:bidi="ar-SA"/>
        </w:rPr>
        <w:t>条。</w:t>
      </w:r>
      <w:r>
        <w:rPr>
          <w:rFonts w:hint="eastAsia" w:ascii="仿宋_GB2312" w:hAnsi="仿宋_GB2312" w:eastAsia="仿宋_GB2312" w:cs="仿宋_GB2312"/>
          <w:b w:val="0"/>
          <w:bCs/>
          <w:kern w:val="2"/>
          <w:sz w:val="32"/>
          <w:szCs w:val="32"/>
          <w:lang w:val="en-US" w:eastAsia="zh-CN" w:bidi="ar-SA"/>
        </w:rPr>
        <w:t>严格依法实行信用约束制度，按照“宽进严管”的总要求，对应当列入经营异常名录管理的，严格执法，及时列入并公示，本年度共将524家企业列入经营异常名录。</w:t>
      </w:r>
    </w:p>
    <w:p w14:paraId="32389723">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第二，深入推进政务诚信建设。</w:t>
      </w:r>
      <w:r>
        <w:rPr>
          <w:rFonts w:hint="eastAsia" w:ascii="仿宋_GB2312" w:hAnsi="仿宋_GB2312" w:eastAsia="仿宋_GB2312" w:cs="仿宋_GB2312"/>
          <w:bCs/>
          <w:snapToGrid/>
          <w:kern w:val="2"/>
          <w:sz w:val="32"/>
          <w:szCs w:val="32"/>
          <w:lang w:val="en-US" w:eastAsia="zh-CN" w:bidi="ar-SA"/>
        </w:rPr>
        <w:t>我局围绕食品安全等重点领域，积极推进校园食品安全排查整治深化行动，深入开展网络餐饮食品安全专项整治，进一步加强食品安全监督抽检，完成监督抽检任务805批次，核查处置工作按期推进。</w:t>
      </w:r>
    </w:p>
    <w:p w14:paraId="477C59B5">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第三，全面主动推进政务公开。</w:t>
      </w:r>
      <w:r>
        <w:rPr>
          <w:rFonts w:hint="eastAsia" w:ascii="仿宋_GB2312" w:eastAsia="仿宋_GB2312" w:hAnsiTheme="minorHAnsi" w:cstheme="minorBidi"/>
          <w:kern w:val="2"/>
          <w:sz w:val="32"/>
          <w:szCs w:val="32"/>
          <w:lang w:val="en-US" w:eastAsia="zh-CN" w:bidi="ar-SA"/>
        </w:rPr>
        <w:t>我</w:t>
      </w:r>
      <w:r>
        <w:rPr>
          <w:rFonts w:hint="eastAsia" w:ascii="仿宋_GB2312" w:eastAsia="仿宋_GB2312" w:cstheme="minorBidi"/>
          <w:kern w:val="2"/>
          <w:sz w:val="32"/>
          <w:szCs w:val="32"/>
          <w:lang w:val="en-US" w:eastAsia="zh-CN" w:bidi="ar-SA"/>
        </w:rPr>
        <w:t>局</w:t>
      </w:r>
      <w:r>
        <w:rPr>
          <w:rFonts w:hint="eastAsia" w:ascii="仿宋_GB2312" w:eastAsia="仿宋_GB2312" w:hAnsiTheme="minorHAnsi" w:cstheme="minorBidi"/>
          <w:kern w:val="2"/>
          <w:sz w:val="32"/>
          <w:szCs w:val="32"/>
          <w:lang w:val="en-US" w:eastAsia="zh-CN" w:bidi="ar-SA"/>
        </w:rPr>
        <w:t>严格遵守《政府信息公开条例》，督促及时公开行政处罚等内容，督促及时回复政府信息公开、</w:t>
      </w:r>
      <w:r>
        <w:rPr>
          <w:rFonts w:hint="eastAsia" w:ascii="仿宋_GB2312" w:hAnsi="仿宋_GB2312" w:eastAsia="仿宋_GB2312" w:cs="仿宋_GB2312"/>
          <w:bCs/>
          <w:snapToGrid/>
          <w:kern w:val="2"/>
          <w:sz w:val="32"/>
          <w:szCs w:val="32"/>
          <w:lang w:val="en-US" w:eastAsia="zh-CN" w:bidi="ar-SA"/>
        </w:rPr>
        <w:t>12315、12345投诉举报等内容。本年度已受理12315消费者投诉、举报10317余件，处理12345政务服务热线转办件5931件，信函件投诉举报两百余件。</w:t>
      </w:r>
    </w:p>
    <w:p w14:paraId="2D8D3447">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（六）强化依法治理，推进完善矛盾纠纷处理机制</w:t>
      </w:r>
    </w:p>
    <w:p w14:paraId="545CA2C7">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第一，深入推进“八五”普法规划实施。</w:t>
      </w:r>
      <w:r>
        <w:rPr>
          <w:rFonts w:hint="eastAsia" w:ascii="仿宋_GB2312" w:eastAsia="仿宋_GB2312" w:hAnsiTheme="minorHAnsi" w:cstheme="minorBidi"/>
          <w:kern w:val="2"/>
          <w:sz w:val="32"/>
          <w:szCs w:val="32"/>
          <w:lang w:val="en-US" w:eastAsia="zh-CN" w:bidi="ar-SA"/>
        </w:rPr>
        <w:t>我局推动落实领导干部学法制度，强调抓住领导干部这个“关键少数”，</w:t>
      </w:r>
      <w:r>
        <w:rPr>
          <w:rFonts w:hint="eastAsia" w:ascii="仿宋_GB2312" w:eastAsia="仿宋_GB2312" w:cstheme="minorBidi"/>
          <w:kern w:val="2"/>
          <w:sz w:val="32"/>
          <w:szCs w:val="32"/>
          <w:lang w:val="en-US" w:eastAsia="zh-CN" w:bidi="ar-SA"/>
        </w:rPr>
        <w:t>并</w:t>
      </w:r>
      <w:r>
        <w:rPr>
          <w:rFonts w:hint="eastAsia" w:ascii="仿宋_GB2312" w:eastAsia="仿宋_GB2312" w:hAnsiTheme="minorHAnsi" w:cstheme="minorBidi"/>
          <w:kern w:val="2"/>
          <w:sz w:val="32"/>
          <w:szCs w:val="32"/>
          <w:lang w:val="en-US" w:eastAsia="zh-CN" w:bidi="ar-SA"/>
        </w:rPr>
        <w:t>组织机关和分局集中学习。大力开展普法宣传活动，充分利用“3·15国际消费者权益日”和“民法典宣传月”等重要时间节点宣传市场监管相关法律法规，接受群众现场咨询</w:t>
      </w:r>
      <w:r>
        <w:rPr>
          <w:rFonts w:hint="eastAsia" w:ascii="仿宋_GB2312" w:eastAsia="仿宋_GB2312" w:cstheme="minorBidi"/>
          <w:kern w:val="2"/>
          <w:sz w:val="32"/>
          <w:szCs w:val="32"/>
          <w:lang w:val="en-US" w:eastAsia="zh-CN" w:bidi="ar-SA"/>
        </w:rPr>
        <w:t>。</w:t>
      </w:r>
    </w:p>
    <w:p w14:paraId="60EDC38B">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eastAsia="仿宋_GB2312"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第二，严格落实“谁执法谁普法”普法责任制。</w:t>
      </w:r>
      <w:r>
        <w:rPr>
          <w:rFonts w:hint="eastAsia" w:ascii="仿宋_GB2312" w:eastAsia="仿宋_GB2312" w:hAnsiTheme="minorHAnsi" w:cstheme="minorBidi"/>
          <w:kern w:val="2"/>
          <w:sz w:val="32"/>
          <w:szCs w:val="32"/>
          <w:lang w:val="en-US" w:eastAsia="zh-CN" w:bidi="ar-SA"/>
        </w:rPr>
        <w:t>我</w:t>
      </w:r>
      <w:r>
        <w:rPr>
          <w:rFonts w:hint="eastAsia" w:ascii="仿宋_GB2312" w:eastAsia="仿宋_GB2312" w:cstheme="minorBidi"/>
          <w:kern w:val="2"/>
          <w:sz w:val="32"/>
          <w:szCs w:val="32"/>
          <w:lang w:val="en-US" w:eastAsia="zh-CN" w:bidi="ar-SA"/>
        </w:rPr>
        <w:t>局</w:t>
      </w:r>
      <w:r>
        <w:rPr>
          <w:rFonts w:hint="eastAsia" w:ascii="仿宋_GB2312" w:eastAsia="仿宋_GB2312" w:hAnsiTheme="minorHAnsi" w:cstheme="minorBidi"/>
          <w:kern w:val="2"/>
          <w:sz w:val="32"/>
          <w:szCs w:val="32"/>
          <w:lang w:val="en-US" w:eastAsia="zh-CN" w:bidi="ar-SA"/>
        </w:rPr>
        <w:t>把法律知识学习培训纳入全体干部学习总体规划。积极报送“法治下基层”典型案例、免罚案例和听证案例等</w:t>
      </w:r>
      <w:r>
        <w:rPr>
          <w:rFonts w:hint="eastAsia" w:ascii="仿宋_GB2312" w:eastAsia="仿宋_GB2312" w:cstheme="minorBidi"/>
          <w:kern w:val="2"/>
          <w:sz w:val="32"/>
          <w:szCs w:val="32"/>
          <w:lang w:val="en-US" w:eastAsia="zh-CN" w:bidi="ar-SA"/>
        </w:rPr>
        <w:t>。</w:t>
      </w:r>
    </w:p>
    <w:p w14:paraId="327280B4">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第三，深化行政复议与应诉工作。</w:t>
      </w:r>
      <w:r>
        <w:rPr>
          <w:rFonts w:hint="eastAsia" w:ascii="仿宋_GB2312" w:eastAsia="仿宋_GB2312" w:cstheme="minorBidi"/>
          <w:kern w:val="2"/>
          <w:sz w:val="32"/>
          <w:szCs w:val="32"/>
          <w:lang w:val="en-US" w:eastAsia="zh-CN" w:bidi="ar-SA"/>
        </w:rPr>
        <w:t>我局</w:t>
      </w:r>
      <w:r>
        <w:rPr>
          <w:rFonts w:hint="eastAsia" w:ascii="仿宋_GB2312" w:eastAsia="仿宋_GB2312" w:hAnsiTheme="minorHAnsi" w:cstheme="minorBidi"/>
          <w:kern w:val="2"/>
          <w:sz w:val="32"/>
          <w:szCs w:val="32"/>
          <w:lang w:val="en-US" w:eastAsia="zh-CN" w:bidi="ar-SA"/>
        </w:rPr>
        <w:t>支持行政复议工作，自觉履行行政复议决定</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充分发挥行政复议在化解行政争议、纠正违法和不当行政行为中的作用</w:t>
      </w:r>
      <w:r>
        <w:rPr>
          <w:rFonts w:hint="eastAsia" w:ascii="仿宋_GB2312" w:eastAsia="仿宋_GB2312" w:cstheme="minorBidi"/>
          <w:kern w:val="2"/>
          <w:sz w:val="32"/>
          <w:szCs w:val="32"/>
          <w:lang w:val="en-US" w:eastAsia="zh-CN" w:bidi="ar-SA"/>
        </w:rPr>
        <w:t>。我局</w:t>
      </w:r>
      <w:r>
        <w:rPr>
          <w:rFonts w:hint="eastAsia" w:ascii="仿宋_GB2312" w:eastAsia="仿宋_GB2312" w:hAnsiTheme="minorHAnsi" w:cstheme="minorBidi"/>
          <w:kern w:val="2"/>
          <w:sz w:val="32"/>
          <w:szCs w:val="32"/>
          <w:lang w:val="en-US" w:eastAsia="zh-CN" w:bidi="ar-SA"/>
        </w:rPr>
        <w:t>贯彻落实行政应诉制度，执行生效判决。积极配合人民法院、检察机关相关工作，保障公民、法人和其他组织的合法权益。</w:t>
      </w:r>
    </w:p>
    <w:p w14:paraId="14653F00">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CESI黑体-GB2312" w:hAnsi="CESI黑体-GB2312" w:eastAsia="CESI黑体-GB2312" w:cs="CESI黑体-GB2312"/>
          <w:b w:val="0"/>
          <w:bCs/>
          <w:kern w:val="2"/>
          <w:sz w:val="32"/>
          <w:szCs w:val="32"/>
          <w:lang w:val="en-US" w:eastAsia="zh-CN" w:bidi="ar-SA"/>
        </w:rPr>
        <w:t>二、存在的主要问题</w:t>
      </w:r>
    </w:p>
    <w:p w14:paraId="2F343897">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w:t>
      </w:r>
      <w:r>
        <w:rPr>
          <w:rFonts w:hint="eastAsia" w:ascii="仿宋_GB2312" w:hAnsi="仿宋_GB2312" w:eastAsia="仿宋_GB2312" w:cs="仿宋_GB2312"/>
          <w:bCs/>
          <w:snapToGrid/>
          <w:kern w:val="2"/>
          <w:sz w:val="32"/>
          <w:szCs w:val="32"/>
          <w:lang w:val="en-US" w:eastAsia="zh-CN" w:bidi="ar-SA"/>
        </w:rPr>
        <w:t>我局大多数工作人员均为行政执法人员，</w:t>
      </w:r>
      <w:r>
        <w:rPr>
          <w:rFonts w:hint="eastAsia" w:ascii="仿宋_GB2312" w:eastAsia="仿宋_GB2312" w:hAnsiTheme="minorHAnsi" w:cstheme="minorBidi"/>
          <w:kern w:val="2"/>
          <w:sz w:val="32"/>
          <w:szCs w:val="32"/>
          <w:lang w:val="en-US" w:eastAsia="zh-CN" w:bidi="ar-SA"/>
        </w:rPr>
        <w:t>法制审核力量</w:t>
      </w:r>
      <w:r>
        <w:rPr>
          <w:rFonts w:hint="eastAsia" w:ascii="仿宋_GB2312" w:eastAsia="仿宋_GB2312" w:cstheme="minorBidi"/>
          <w:kern w:val="2"/>
          <w:sz w:val="32"/>
          <w:szCs w:val="32"/>
          <w:lang w:val="en-US" w:eastAsia="zh-CN" w:bidi="ar-SA"/>
        </w:rPr>
        <w:t>不足。</w:t>
      </w:r>
    </w:p>
    <w:p w14:paraId="5B09049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w:t>
      </w:r>
      <w:r>
        <w:rPr>
          <w:rFonts w:hint="eastAsia" w:ascii="仿宋_GB2312" w:hAnsi="仿宋_GB2312" w:eastAsia="仿宋_GB2312" w:cs="仿宋_GB2312"/>
          <w:bCs/>
          <w:snapToGrid/>
          <w:kern w:val="2"/>
          <w:sz w:val="32"/>
          <w:szCs w:val="32"/>
          <w:lang w:val="en-US" w:eastAsia="zh-CN" w:bidi="ar-SA"/>
        </w:rPr>
        <w:t>我局目前是受市局委托以市局名义开展执法办案工作，执法人员办案经验不丰富、执法水平不够高。</w:t>
      </w:r>
    </w:p>
    <w:p w14:paraId="740FFBB1">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CESI黑体-GB2312" w:hAnsi="CESI黑体-GB2312" w:eastAsia="CESI黑体-GB2312" w:cs="CESI黑体-GB2312"/>
          <w:b w:val="0"/>
          <w:bCs/>
          <w:kern w:val="2"/>
          <w:sz w:val="32"/>
          <w:szCs w:val="32"/>
          <w:lang w:val="en-US" w:eastAsia="zh-CN" w:bidi="ar-SA"/>
        </w:rPr>
        <w:t>三、主要负责人履行职责情况</w:t>
      </w:r>
    </w:p>
    <w:p w14:paraId="11DCC653">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firstLineChars="200"/>
        <w:jc w:val="both"/>
        <w:textAlignment w:val="auto"/>
        <w:rPr>
          <w:rFonts w:hint="eastAsia" w:ascii="仿宋_GB2312" w:hAnsi="黑体"/>
          <w:lang w:val="en-US" w:eastAsia="zh-CN"/>
        </w:rPr>
      </w:pPr>
      <w:r>
        <w:rPr>
          <w:rFonts w:hint="eastAsia" w:ascii="仿宋_GB2312" w:eastAsia="仿宋_GB2312" w:hAnsiTheme="minorHAnsi" w:cstheme="minorBidi"/>
          <w:kern w:val="2"/>
          <w:sz w:val="32"/>
          <w:szCs w:val="32"/>
          <w:lang w:val="en-US" w:eastAsia="zh-CN" w:bidi="ar-SA"/>
        </w:rPr>
        <w:t>我局按照</w:t>
      </w:r>
      <w:r>
        <w:rPr>
          <w:rFonts w:hint="eastAsia" w:ascii="仿宋_GB2312" w:eastAsia="仿宋_GB2312" w:cstheme="minorBidi"/>
          <w:kern w:val="2"/>
          <w:sz w:val="32"/>
          <w:szCs w:val="32"/>
          <w:lang w:val="en-US" w:eastAsia="zh-CN" w:bidi="ar-SA"/>
        </w:rPr>
        <w:t>相关工作</w:t>
      </w:r>
      <w:r>
        <w:rPr>
          <w:rFonts w:hint="eastAsia" w:ascii="仿宋_GB2312" w:eastAsia="仿宋_GB2312" w:hAnsiTheme="minorHAnsi" w:cstheme="minorBidi"/>
          <w:kern w:val="2"/>
          <w:sz w:val="32"/>
          <w:szCs w:val="32"/>
          <w:lang w:val="en-US" w:eastAsia="zh-CN" w:bidi="ar-SA"/>
        </w:rPr>
        <w:t>部署要求，</w:t>
      </w:r>
      <w:r>
        <w:rPr>
          <w:rFonts w:hint="eastAsia" w:ascii="仿宋_GB2312" w:eastAsia="仿宋_GB2312" w:cstheme="minorBidi"/>
          <w:kern w:val="2"/>
          <w:sz w:val="32"/>
          <w:szCs w:val="32"/>
          <w:lang w:val="en-US" w:eastAsia="zh-CN" w:bidi="ar-SA"/>
        </w:rPr>
        <w:t>认真</w:t>
      </w:r>
      <w:r>
        <w:rPr>
          <w:rFonts w:hint="eastAsia" w:ascii="仿宋_GB2312" w:eastAsia="仿宋_GB2312" w:hAnsiTheme="minorHAnsi" w:cstheme="minorBidi"/>
          <w:kern w:val="2"/>
          <w:sz w:val="32"/>
          <w:szCs w:val="32"/>
          <w:lang w:val="en-US" w:eastAsia="zh-CN" w:bidi="ar-SA"/>
        </w:rPr>
        <w:t>履行推进法治建设第一责任人职责。</w:t>
      </w:r>
      <w:r>
        <w:rPr>
          <w:rFonts w:hint="eastAsia" w:ascii="仿宋_GB2312" w:hAnsi="仿宋_GB2312" w:eastAsia="仿宋_GB2312" w:cs="仿宋_GB2312"/>
          <w:b/>
          <w:bCs w:val="0"/>
          <w:kern w:val="2"/>
          <w:sz w:val="32"/>
          <w:szCs w:val="32"/>
          <w:lang w:val="en-US" w:eastAsia="zh-CN" w:bidi="ar-SA"/>
        </w:rPr>
        <w:t>第一，</w:t>
      </w:r>
      <w:r>
        <w:rPr>
          <w:rFonts w:hint="eastAsia" w:ascii="仿宋_GB2312" w:eastAsia="仿宋_GB2312" w:hAnsiTheme="minorHAnsi" w:cstheme="minorBidi"/>
          <w:kern w:val="2"/>
          <w:sz w:val="32"/>
          <w:szCs w:val="32"/>
          <w:lang w:val="en-US" w:eastAsia="zh-CN" w:bidi="ar-SA"/>
        </w:rPr>
        <w:t>深入学习习近平法治思想，贯彻落实习近平总书记关于法治建设的重要指示精神，贯彻党中央、省委决策部署。</w:t>
      </w:r>
      <w:r>
        <w:rPr>
          <w:rFonts w:hint="eastAsia" w:ascii="仿宋_GB2312" w:hAnsi="仿宋_GB2312" w:eastAsia="仿宋_GB2312" w:cs="仿宋_GB2312"/>
          <w:b/>
          <w:bCs w:val="0"/>
          <w:kern w:val="2"/>
          <w:sz w:val="32"/>
          <w:szCs w:val="32"/>
          <w:lang w:val="en-US" w:eastAsia="zh-CN" w:bidi="ar-SA"/>
        </w:rPr>
        <w:t>第二，</w:t>
      </w:r>
      <w:r>
        <w:rPr>
          <w:rFonts w:hint="eastAsia" w:ascii="仿宋_GB2312" w:eastAsia="仿宋_GB2312" w:hAnsiTheme="minorHAnsi" w:cstheme="minorBidi"/>
          <w:kern w:val="2"/>
          <w:sz w:val="32"/>
          <w:szCs w:val="32"/>
          <w:lang w:val="en-US" w:eastAsia="zh-CN" w:bidi="ar-SA"/>
        </w:rPr>
        <w:t>履行法治建设主体职责，认真听取、研究法治工作议题；按时报告、公示年度法治政府建设情况，自觉接受人民群众监督。</w:t>
      </w:r>
      <w:r>
        <w:rPr>
          <w:rFonts w:hint="eastAsia" w:ascii="仿宋_GB2312" w:hAnsi="仿宋_GB2312" w:eastAsia="仿宋_GB2312" w:cs="仿宋_GB2312"/>
          <w:b/>
          <w:bCs w:val="0"/>
          <w:kern w:val="2"/>
          <w:sz w:val="32"/>
          <w:szCs w:val="32"/>
          <w:lang w:val="en-US" w:eastAsia="zh-CN" w:bidi="ar-SA"/>
        </w:rPr>
        <w:t>第三，</w:t>
      </w:r>
      <w:r>
        <w:rPr>
          <w:rFonts w:hint="eastAsia" w:ascii="仿宋_GB2312" w:eastAsia="仿宋_GB2312" w:hAnsiTheme="minorHAnsi" w:cstheme="minorBidi"/>
          <w:kern w:val="2"/>
          <w:sz w:val="32"/>
          <w:szCs w:val="32"/>
          <w:lang w:val="en-US" w:eastAsia="zh-CN" w:bidi="ar-SA"/>
        </w:rPr>
        <w:t>严格执行重大行政决策法定程序，严格落实法律顾问制度、公职律师制度；推动制定多项工作规则，规范执法程序，全面推行政务公开。</w:t>
      </w:r>
      <w:r>
        <w:rPr>
          <w:rFonts w:hint="eastAsia" w:ascii="仿宋_GB2312" w:hAnsi="仿宋_GB2312" w:eastAsia="仿宋_GB2312" w:cs="仿宋_GB2312"/>
          <w:b/>
          <w:bCs w:val="0"/>
          <w:kern w:val="2"/>
          <w:sz w:val="32"/>
          <w:szCs w:val="32"/>
          <w:lang w:val="en-US" w:eastAsia="zh-CN" w:bidi="ar-SA"/>
        </w:rPr>
        <w:t>第四，</w:t>
      </w:r>
      <w:r>
        <w:rPr>
          <w:rFonts w:hint="eastAsia" w:ascii="仿宋_GB2312" w:eastAsia="仿宋_GB2312" w:hAnsiTheme="minorHAnsi" w:cstheme="minorBidi"/>
          <w:kern w:val="2"/>
          <w:sz w:val="32"/>
          <w:szCs w:val="32"/>
          <w:lang w:val="en-US" w:eastAsia="zh-CN" w:bidi="ar-SA"/>
        </w:rPr>
        <w:t>深化行政审批制度改革；健全完善行政执法工作体系，加强行政执法部门与有关部门的协作配合。</w:t>
      </w:r>
      <w:r>
        <w:rPr>
          <w:rFonts w:hint="eastAsia" w:ascii="仿宋_GB2312" w:hAnsi="仿宋_GB2312" w:eastAsia="仿宋_GB2312" w:cs="仿宋_GB2312"/>
          <w:b/>
          <w:bCs w:val="0"/>
          <w:kern w:val="2"/>
          <w:sz w:val="32"/>
          <w:szCs w:val="32"/>
          <w:lang w:val="en-US" w:eastAsia="zh-CN" w:bidi="ar-SA"/>
        </w:rPr>
        <w:t>第五，</w:t>
      </w:r>
      <w:r>
        <w:rPr>
          <w:rFonts w:hint="eastAsia" w:ascii="仿宋_GB2312" w:eastAsia="仿宋_GB2312" w:hAnsiTheme="minorHAnsi" w:cstheme="minorBidi"/>
          <w:kern w:val="2"/>
          <w:sz w:val="32"/>
          <w:szCs w:val="32"/>
          <w:lang w:val="en-US" w:eastAsia="zh-CN" w:bidi="ar-SA"/>
        </w:rPr>
        <w:t>严格督促依法行政，支持行政复议、行政应诉等制度。</w:t>
      </w:r>
      <w:r>
        <w:rPr>
          <w:rFonts w:hint="eastAsia" w:ascii="仿宋_GB2312" w:hAnsi="仿宋_GB2312" w:eastAsia="仿宋_GB2312" w:cs="仿宋_GB2312"/>
          <w:b/>
          <w:bCs w:val="0"/>
          <w:kern w:val="2"/>
          <w:sz w:val="32"/>
          <w:szCs w:val="32"/>
          <w:lang w:val="en-US" w:eastAsia="zh-CN" w:bidi="ar-SA"/>
        </w:rPr>
        <w:t>第六，</w:t>
      </w:r>
      <w:r>
        <w:rPr>
          <w:rFonts w:hint="eastAsia" w:ascii="仿宋_GB2312" w:eastAsia="仿宋_GB2312" w:hAnsiTheme="minorHAnsi" w:cstheme="minorBidi"/>
          <w:kern w:val="2"/>
          <w:sz w:val="32"/>
          <w:szCs w:val="32"/>
          <w:lang w:val="en-US" w:eastAsia="zh-CN" w:bidi="ar-SA"/>
        </w:rPr>
        <w:t>推动落实领导干部学法制度，抓实法治教育培训，落实普法责任制。</w:t>
      </w:r>
    </w:p>
    <w:p w14:paraId="12764719">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CESI黑体-GB2312" w:hAnsi="CESI黑体-GB2312" w:eastAsia="CESI黑体-GB2312" w:cs="CESI黑体-GB2312"/>
          <w:b w:val="0"/>
          <w:bCs/>
          <w:kern w:val="2"/>
          <w:sz w:val="32"/>
          <w:szCs w:val="32"/>
          <w:lang w:val="en-US" w:eastAsia="zh-CN" w:bidi="ar-SA"/>
        </w:rPr>
        <w:t>四、有关意见建议</w:t>
      </w:r>
    </w:p>
    <w:p w14:paraId="50985015">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我局建议多开展行政执法、行政复议、旁听庭审等相关培训、活动，提升行政执法人员法律素养。</w:t>
      </w:r>
    </w:p>
    <w:p w14:paraId="54676486">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CESI黑体-GB2312" w:hAnsi="CESI黑体-GB2312" w:eastAsia="CESI黑体-GB2312" w:cs="CESI黑体-GB2312"/>
          <w:b w:val="0"/>
          <w:bCs/>
          <w:kern w:val="2"/>
          <w:sz w:val="32"/>
          <w:szCs w:val="32"/>
          <w:lang w:val="en-US" w:eastAsia="zh-CN" w:bidi="ar-SA"/>
        </w:rPr>
        <w:t>五、2025年工作安排</w:t>
      </w:r>
    </w:p>
    <w:p w14:paraId="34AFB79D">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w:t>
      </w:r>
      <w:r>
        <w:rPr>
          <w:rFonts w:hint="eastAsia" w:ascii="仿宋_GB2312" w:eastAsia="仿宋_GB2312" w:hAnsiTheme="minorHAnsi" w:cstheme="minorBidi"/>
          <w:kern w:val="2"/>
          <w:sz w:val="32"/>
          <w:szCs w:val="32"/>
          <w:lang w:val="en-US" w:eastAsia="zh-CN" w:bidi="ar-SA"/>
        </w:rPr>
        <w:t>进一步规范行政处罚案卷。针对案卷评查、相关督导中对行政处罚案卷提出的问题，自查自纠，提升行政处罚案卷制作规范化水平。</w:t>
      </w:r>
    </w:p>
    <w:p w14:paraId="1A9A4A46">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w:t>
      </w:r>
      <w:r>
        <w:rPr>
          <w:rFonts w:hint="eastAsia" w:ascii="仿宋_GB2312" w:eastAsia="仿宋_GB2312" w:hAnsiTheme="minorHAnsi" w:cstheme="minorBidi"/>
          <w:kern w:val="2"/>
          <w:sz w:val="32"/>
          <w:szCs w:val="32"/>
          <w:lang w:val="en-US" w:eastAsia="zh-CN" w:bidi="ar-SA"/>
        </w:rPr>
        <w:t>规范投诉举报回复时间及内容。针对全局行政复议案例进行总结，与市、区两级法制办积极沟通交流，全面、准确回复投诉举报，降低行政复议纠错率。</w:t>
      </w:r>
    </w:p>
    <w:p w14:paraId="6368A4C4">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第三，</w:t>
      </w:r>
      <w:r>
        <w:rPr>
          <w:rFonts w:hint="eastAsia" w:ascii="仿宋_GB2312" w:eastAsia="仿宋_GB2312" w:hAnsiTheme="minorHAnsi" w:cstheme="minorBidi"/>
          <w:kern w:val="2"/>
          <w:sz w:val="32"/>
          <w:szCs w:val="32"/>
          <w:lang w:val="en-US" w:eastAsia="zh-CN" w:bidi="ar-SA"/>
        </w:rPr>
        <w:t>进一步加强业务培训，将线上、线下学习相结合，每年开展行政执法培训工作，切实提升行政执法质效。</w:t>
      </w:r>
    </w:p>
    <w:p w14:paraId="22F16934">
      <w:pPr>
        <w:pStyle w:val="4"/>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第四，</w:t>
      </w:r>
      <w:r>
        <w:rPr>
          <w:rFonts w:hint="eastAsia" w:ascii="仿宋_GB2312" w:eastAsia="仿宋_GB2312" w:hAnsiTheme="minorHAnsi" w:cstheme="minorBidi"/>
          <w:kern w:val="2"/>
          <w:sz w:val="32"/>
          <w:szCs w:val="32"/>
          <w:lang w:val="en-US" w:eastAsia="zh-CN" w:bidi="ar-SA"/>
        </w:rPr>
        <w:t>安排执法经验丰富的干部进入</w:t>
      </w:r>
      <w:r>
        <w:rPr>
          <w:rFonts w:hint="eastAsia" w:ascii="仿宋_GB2312" w:eastAsia="仿宋_GB2312" w:cstheme="minorBidi"/>
          <w:kern w:val="2"/>
          <w:sz w:val="32"/>
          <w:szCs w:val="32"/>
          <w:lang w:val="en-US" w:eastAsia="zh-CN" w:bidi="ar-SA"/>
        </w:rPr>
        <w:t>执法和</w:t>
      </w:r>
      <w:r>
        <w:rPr>
          <w:rFonts w:hint="eastAsia" w:ascii="仿宋_GB2312" w:eastAsia="仿宋_GB2312" w:hAnsiTheme="minorHAnsi" w:cstheme="minorBidi"/>
          <w:kern w:val="2"/>
          <w:sz w:val="32"/>
          <w:szCs w:val="32"/>
          <w:lang w:val="en-US" w:eastAsia="zh-CN" w:bidi="ar-SA"/>
        </w:rPr>
        <w:t>法制</w:t>
      </w:r>
      <w:r>
        <w:rPr>
          <w:rFonts w:hint="eastAsia" w:ascii="仿宋_GB2312" w:eastAsia="仿宋_GB2312" w:cstheme="minorBidi"/>
          <w:kern w:val="2"/>
          <w:sz w:val="32"/>
          <w:szCs w:val="32"/>
          <w:lang w:val="en-US" w:eastAsia="zh-CN" w:bidi="ar-SA"/>
        </w:rPr>
        <w:t>审核</w:t>
      </w:r>
      <w:r>
        <w:rPr>
          <w:rFonts w:hint="eastAsia" w:ascii="仿宋_GB2312" w:eastAsia="仿宋_GB2312" w:hAnsiTheme="minorHAnsi" w:cstheme="minorBidi"/>
          <w:kern w:val="2"/>
          <w:sz w:val="32"/>
          <w:szCs w:val="32"/>
          <w:lang w:val="en-US" w:eastAsia="zh-CN" w:bidi="ar-SA"/>
        </w:rPr>
        <w:t>岗位，填补岗位缺口。</w:t>
      </w:r>
    </w:p>
    <w:p w14:paraId="07B65C29">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default" w:ascii="仿宋_GB2312" w:hAnsi="仿宋_GB2312" w:eastAsia="仿宋_GB2312" w:cs="仿宋_GB2312"/>
          <w:b w:val="0"/>
          <w:bCs/>
          <w:kern w:val="2"/>
          <w:sz w:val="32"/>
          <w:szCs w:val="32"/>
          <w:lang w:val="en-US" w:eastAsia="zh-CN" w:bidi="ar-SA"/>
        </w:rPr>
        <w:t>专此报告。</w:t>
      </w:r>
    </w:p>
    <w:p w14:paraId="3733B611">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p>
    <w:p w14:paraId="113C984D">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p>
    <w:p w14:paraId="16457E93">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p>
    <w:p w14:paraId="5718926A">
      <w:pPr>
        <w:pStyle w:val="4"/>
        <w:keepNext w:val="0"/>
        <w:keepLines w:val="0"/>
        <w:pageBreakBefore w:val="0"/>
        <w:widowControl w:val="0"/>
        <w:kinsoku/>
        <w:wordWrap/>
        <w:overflowPunct/>
        <w:topLinePunct w:val="0"/>
        <w:autoSpaceDE/>
        <w:autoSpaceDN/>
        <w:bidi w:val="0"/>
        <w:adjustRightInd w:val="0"/>
        <w:snapToGrid w:val="0"/>
        <w:spacing w:line="560" w:lineRule="exact"/>
        <w:ind w:left="4798" w:leftChars="304" w:hanging="4160" w:hangingChars="1300"/>
        <w:jc w:val="both"/>
        <w:textAlignment w:val="auto"/>
        <w:rPr>
          <w:rFonts w:hint="default" w:ascii="仿宋_GB2312" w:hAnsi="仿宋_GB2312" w:eastAsia="仿宋_GB2312" w:cs="仿宋_GB2312"/>
          <w:b w:val="0"/>
          <w:bCs/>
          <w:kern w:val="2"/>
          <w:sz w:val="32"/>
          <w:szCs w:val="32"/>
          <w:lang w:val="en-US" w:eastAsia="zh-CN" w:bidi="ar-SA"/>
        </w:rPr>
      </w:pPr>
      <w:r>
        <w:rPr>
          <w:rFonts w:hint="default" w:ascii="仿宋_GB2312" w:hAnsi="仿宋_GB2312" w:eastAsia="仿宋_GB2312" w:cs="仿宋_GB2312"/>
          <w:b w:val="0"/>
          <w:bCs/>
          <w:kern w:val="2"/>
          <w:sz w:val="32"/>
          <w:szCs w:val="32"/>
          <w:lang w:val="en-US" w:eastAsia="zh-CN" w:bidi="ar-SA"/>
        </w:rPr>
        <w:t xml:space="preserve">  </w:t>
      </w:r>
      <w:r>
        <w:rPr>
          <w:rFonts w:hint="eastAsia" w:ascii="仿宋_GB2312" w:hAnsi="仿宋_GB2312" w:eastAsia="仿宋_GB2312" w:cs="仿宋_GB2312"/>
          <w:b w:val="0"/>
          <w:bCs/>
          <w:kern w:val="2"/>
          <w:sz w:val="32"/>
          <w:szCs w:val="32"/>
          <w:lang w:val="en-US" w:eastAsia="zh-CN" w:bidi="ar-SA"/>
        </w:rPr>
        <w:t>　　　　</w:t>
      </w:r>
      <w:r>
        <w:rPr>
          <w:rFonts w:hint="default" w:ascii="仿宋_GB2312" w:hAnsi="仿宋_GB2312" w:eastAsia="仿宋_GB2312" w:cs="仿宋_GB2312"/>
          <w:b w:val="0"/>
          <w:bCs/>
          <w:kern w:val="2"/>
          <w:sz w:val="32"/>
          <w:szCs w:val="32"/>
          <w:lang w:val="en-US" w:eastAsia="zh-CN" w:bidi="ar-SA"/>
        </w:rPr>
        <w:t xml:space="preserve"> </w:t>
      </w:r>
      <w:r>
        <w:rPr>
          <w:rFonts w:hint="eastAsia" w:ascii="仿宋_GB2312" w:hAnsi="仿宋_GB2312" w:eastAsia="仿宋_GB2312" w:cs="仿宋_GB2312"/>
          <w:b w:val="0"/>
          <w:bCs/>
          <w:kern w:val="2"/>
          <w:sz w:val="32"/>
          <w:szCs w:val="32"/>
          <w:lang w:val="en-US" w:eastAsia="zh-CN" w:bidi="ar-SA"/>
        </w:rPr>
        <w:t xml:space="preserve">           </w:t>
      </w:r>
      <w:bookmarkStart w:id="0" w:name="_GoBack"/>
      <w:bookmarkEnd w:id="0"/>
      <w:r>
        <w:rPr>
          <w:rFonts w:hint="default" w:ascii="仿宋_GB2312" w:hAnsi="仿宋_GB2312" w:eastAsia="仿宋_GB2312" w:cs="仿宋_GB2312"/>
          <w:b w:val="0"/>
          <w:bCs/>
          <w:kern w:val="2"/>
          <w:sz w:val="32"/>
          <w:szCs w:val="32"/>
          <w:lang w:val="en-US" w:eastAsia="zh-CN" w:bidi="ar-SA"/>
        </w:rPr>
        <w:t>区</w:t>
      </w:r>
      <w:r>
        <w:rPr>
          <w:rFonts w:hint="eastAsia" w:ascii="仿宋_GB2312" w:hAnsi="仿宋_GB2312" w:eastAsia="仿宋_GB2312" w:cs="仿宋_GB2312"/>
          <w:b w:val="0"/>
          <w:bCs/>
          <w:kern w:val="2"/>
          <w:sz w:val="32"/>
          <w:szCs w:val="32"/>
          <w:lang w:val="en-US" w:eastAsia="zh-CN" w:bidi="ar-SA"/>
        </w:rPr>
        <w:t>市场监督管理</w:t>
      </w:r>
      <w:r>
        <w:rPr>
          <w:rFonts w:hint="default" w:ascii="仿宋_GB2312" w:hAnsi="仿宋_GB2312" w:eastAsia="仿宋_GB2312" w:cs="仿宋_GB2312"/>
          <w:b w:val="0"/>
          <w:bCs/>
          <w:kern w:val="2"/>
          <w:sz w:val="32"/>
          <w:szCs w:val="32"/>
          <w:lang w:val="en-US" w:eastAsia="zh-CN" w:bidi="ar-SA"/>
        </w:rPr>
        <w:t xml:space="preserve">局    </w:t>
      </w:r>
    </w:p>
    <w:p w14:paraId="7EEB703D">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val="0"/>
          <w:bCs/>
          <w:kern w:val="2"/>
          <w:sz w:val="32"/>
          <w:szCs w:val="32"/>
          <w:lang w:val="en-US" w:eastAsia="zh-CN" w:bidi="ar-SA"/>
        </w:rPr>
        <w:t xml:space="preserve">　　　　　　　　　　　　　  </w:t>
      </w:r>
      <w:r>
        <w:rPr>
          <w:rFonts w:hint="default" w:ascii="仿宋_GB2312" w:hAnsi="仿宋_GB2312" w:eastAsia="仿宋_GB2312" w:cs="仿宋_GB2312"/>
          <w:b w:val="0"/>
          <w:bCs/>
          <w:kern w:val="2"/>
          <w:sz w:val="32"/>
          <w:szCs w:val="32"/>
          <w:lang w:val="en-US" w:eastAsia="zh-CN" w:bidi="ar-SA"/>
        </w:rPr>
        <w:t>202</w:t>
      </w:r>
      <w:r>
        <w:rPr>
          <w:rFonts w:hint="eastAsia" w:ascii="仿宋_GB2312" w:hAnsi="仿宋_GB2312" w:eastAsia="仿宋_GB2312" w:cs="仿宋_GB2312"/>
          <w:b w:val="0"/>
          <w:bCs/>
          <w:kern w:val="2"/>
          <w:sz w:val="32"/>
          <w:szCs w:val="32"/>
          <w:lang w:val="en-US" w:eastAsia="zh-CN" w:bidi="ar-SA"/>
        </w:rPr>
        <w:t>5</w:t>
      </w:r>
      <w:r>
        <w:rPr>
          <w:rFonts w:hint="default" w:ascii="仿宋_GB2312" w:hAnsi="仿宋_GB2312" w:eastAsia="仿宋_GB2312" w:cs="仿宋_GB2312"/>
          <w:b w:val="0"/>
          <w:bCs/>
          <w:kern w:val="2"/>
          <w:sz w:val="32"/>
          <w:szCs w:val="32"/>
          <w:lang w:val="en-US" w:eastAsia="zh-CN" w:bidi="ar-SA"/>
        </w:rPr>
        <w:t>年</w:t>
      </w:r>
      <w:r>
        <w:rPr>
          <w:rFonts w:hint="eastAsia" w:ascii="仿宋_GB2312" w:hAnsi="仿宋_GB2312" w:eastAsia="仿宋_GB2312" w:cs="仿宋_GB2312"/>
          <w:b w:val="0"/>
          <w:bCs/>
          <w:kern w:val="2"/>
          <w:sz w:val="32"/>
          <w:szCs w:val="32"/>
          <w:lang w:val="en-US" w:eastAsia="zh-CN" w:bidi="ar-SA"/>
        </w:rPr>
        <w:t>1</w:t>
      </w:r>
      <w:r>
        <w:rPr>
          <w:rFonts w:hint="default" w:ascii="仿宋_GB2312" w:hAnsi="仿宋_GB2312" w:eastAsia="仿宋_GB2312" w:cs="仿宋_GB2312"/>
          <w:b w:val="0"/>
          <w:bCs/>
          <w:kern w:val="2"/>
          <w:sz w:val="32"/>
          <w:szCs w:val="32"/>
          <w:lang w:val="en-US" w:eastAsia="zh-CN" w:bidi="ar-SA"/>
        </w:rPr>
        <w:t>月</w:t>
      </w:r>
      <w:r>
        <w:rPr>
          <w:rFonts w:hint="eastAsia" w:ascii="仿宋_GB2312" w:hAnsi="仿宋_GB2312" w:eastAsia="仿宋_GB2312" w:cs="仿宋_GB2312"/>
          <w:b w:val="0"/>
          <w:bCs/>
          <w:kern w:val="2"/>
          <w:sz w:val="32"/>
          <w:szCs w:val="32"/>
          <w:lang w:val="en-US" w:eastAsia="zh-CN" w:bidi="ar-SA"/>
        </w:rPr>
        <w:t>1</w:t>
      </w:r>
      <w:r>
        <w:rPr>
          <w:rFonts w:hint="default" w:ascii="仿宋_GB2312" w:hAnsi="仿宋_GB2312" w:eastAsia="仿宋_GB2312" w:cs="仿宋_GB2312"/>
          <w:b w:val="0"/>
          <w:bCs/>
          <w:kern w:val="2"/>
          <w:sz w:val="32"/>
          <w:szCs w:val="32"/>
          <w:lang w:val="en-US" w:eastAsia="zh-CN" w:bidi="ar-SA"/>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黑体-GB2312">
    <w:panose1 w:val="02000500000000000000"/>
    <w:charset w:val="86"/>
    <w:family w:val="auto"/>
    <w:pitch w:val="default"/>
    <w:sig w:usb0="800002BF" w:usb1="184F6CF8" w:usb2="00000012" w:usb3="00000000" w:csb0="0004000F" w:csb1="00000000"/>
  </w:font>
  <w:font w:name="CESI楷体-GB13000">
    <w:panose1 w:val="02000500000000000000"/>
    <w:charset w:val="86"/>
    <w:family w:val="auto"/>
    <w:pitch w:val="default"/>
    <w:sig w:usb0="800002BF" w:usb1="38CF7CF8" w:usb2="00000016" w:usb3="00000000" w:csb0="0004000F"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B89"/>
    <w:rsid w:val="07E2057E"/>
    <w:rsid w:val="0B111472"/>
    <w:rsid w:val="0C831895"/>
    <w:rsid w:val="0D0E5A63"/>
    <w:rsid w:val="102B279D"/>
    <w:rsid w:val="1081433D"/>
    <w:rsid w:val="1333260E"/>
    <w:rsid w:val="13D80B9E"/>
    <w:rsid w:val="13E61AA9"/>
    <w:rsid w:val="14A46FED"/>
    <w:rsid w:val="150B2214"/>
    <w:rsid w:val="167A1613"/>
    <w:rsid w:val="16856EBE"/>
    <w:rsid w:val="168D3A3C"/>
    <w:rsid w:val="18954E2A"/>
    <w:rsid w:val="19B26295"/>
    <w:rsid w:val="19C82C79"/>
    <w:rsid w:val="1A136006"/>
    <w:rsid w:val="1A606D71"/>
    <w:rsid w:val="1D6D3C7F"/>
    <w:rsid w:val="1DB71C4B"/>
    <w:rsid w:val="1DD016F9"/>
    <w:rsid w:val="1E364920"/>
    <w:rsid w:val="1E9532EC"/>
    <w:rsid w:val="207342F7"/>
    <w:rsid w:val="2099122F"/>
    <w:rsid w:val="21466CC1"/>
    <w:rsid w:val="21A37E40"/>
    <w:rsid w:val="222D1BB4"/>
    <w:rsid w:val="22617B2B"/>
    <w:rsid w:val="230B4F2D"/>
    <w:rsid w:val="24C06D8A"/>
    <w:rsid w:val="24E52C95"/>
    <w:rsid w:val="29606AF1"/>
    <w:rsid w:val="2A2D1913"/>
    <w:rsid w:val="2A7E3970"/>
    <w:rsid w:val="2B975575"/>
    <w:rsid w:val="2DE97352"/>
    <w:rsid w:val="2E604F7C"/>
    <w:rsid w:val="314A65E0"/>
    <w:rsid w:val="31AD1AB4"/>
    <w:rsid w:val="353E1BDE"/>
    <w:rsid w:val="364A5420"/>
    <w:rsid w:val="36867804"/>
    <w:rsid w:val="3687595A"/>
    <w:rsid w:val="38F90154"/>
    <w:rsid w:val="3B295232"/>
    <w:rsid w:val="3BD516DC"/>
    <w:rsid w:val="3E1721C7"/>
    <w:rsid w:val="3EBB757C"/>
    <w:rsid w:val="42800DA9"/>
    <w:rsid w:val="448D08E9"/>
    <w:rsid w:val="44D15602"/>
    <w:rsid w:val="484F3DFE"/>
    <w:rsid w:val="496B4C67"/>
    <w:rsid w:val="4BFC5F69"/>
    <w:rsid w:val="4D6B7C12"/>
    <w:rsid w:val="4D7B135E"/>
    <w:rsid w:val="4E841BC8"/>
    <w:rsid w:val="4EDC45F1"/>
    <w:rsid w:val="4F427818"/>
    <w:rsid w:val="4FBE6B10"/>
    <w:rsid w:val="52D970E6"/>
    <w:rsid w:val="533E2A53"/>
    <w:rsid w:val="55F97C6A"/>
    <w:rsid w:val="57EA3B43"/>
    <w:rsid w:val="58AD704A"/>
    <w:rsid w:val="59A0359A"/>
    <w:rsid w:val="5A9418A9"/>
    <w:rsid w:val="5D1E66C4"/>
    <w:rsid w:val="5DB02B81"/>
    <w:rsid w:val="5DB45CF4"/>
    <w:rsid w:val="60506572"/>
    <w:rsid w:val="60657AB6"/>
    <w:rsid w:val="62AF39BF"/>
    <w:rsid w:val="647629E6"/>
    <w:rsid w:val="655A5E64"/>
    <w:rsid w:val="66246CA2"/>
    <w:rsid w:val="67050051"/>
    <w:rsid w:val="672F0459"/>
    <w:rsid w:val="678871E6"/>
    <w:rsid w:val="68464DC5"/>
    <w:rsid w:val="692D249D"/>
    <w:rsid w:val="6A8614A9"/>
    <w:rsid w:val="6BC27ED8"/>
    <w:rsid w:val="6C4C4ACD"/>
    <w:rsid w:val="6F9925DA"/>
    <w:rsid w:val="6FBF7463"/>
    <w:rsid w:val="701F03D6"/>
    <w:rsid w:val="70C15D8C"/>
    <w:rsid w:val="711E068D"/>
    <w:rsid w:val="71270FB3"/>
    <w:rsid w:val="718D41DB"/>
    <w:rsid w:val="71F37403"/>
    <w:rsid w:val="721B72C2"/>
    <w:rsid w:val="721F5091"/>
    <w:rsid w:val="73B33B60"/>
    <w:rsid w:val="74D614A8"/>
    <w:rsid w:val="76E97048"/>
    <w:rsid w:val="774626EC"/>
    <w:rsid w:val="79EC2A16"/>
    <w:rsid w:val="7A160067"/>
    <w:rsid w:val="7B643AC1"/>
    <w:rsid w:val="7BFC88C9"/>
    <w:rsid w:val="7C513185"/>
    <w:rsid w:val="7C7620C0"/>
    <w:rsid w:val="7FB80F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200" w:firstLineChars="200"/>
    </w:pPr>
    <w:rPr>
      <w:rFonts w:ascii="Times New Roman" w:hAnsi="Times New Roman" w:eastAsia="宋体" w:cs="Times New Roman"/>
      <w:sz w:val="21"/>
    </w:rPr>
  </w:style>
  <w:style w:type="paragraph" w:styleId="3">
    <w:name w:val="index 5"/>
    <w:basedOn w:val="1"/>
    <w:next w:val="1"/>
    <w:qFormat/>
    <w:uiPriority w:val="0"/>
    <w:pPr>
      <w:widowControl w:val="0"/>
      <w:spacing w:line="560" w:lineRule="exact"/>
      <w:ind w:left="1678"/>
      <w:jc w:val="both"/>
    </w:pPr>
    <w:rPr>
      <w:rFonts w:ascii="仿宋_GB2312" w:hAnsi="仿宋_GB2312" w:eastAsia="宋体" w:cs="Times New Roman"/>
      <w:kern w:val="2"/>
      <w:sz w:val="21"/>
      <w:szCs w:val="24"/>
      <w:lang w:val="en-US" w:eastAsia="zh-CN" w:bidi="ar-SA"/>
    </w:r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character" w:styleId="8">
    <w:name w:val="Hyperlink"/>
    <w:basedOn w:val="7"/>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公文正文"/>
    <w:qFormat/>
    <w:uiPriority w:val="0"/>
    <w:pPr>
      <w:widowControl/>
      <w:spacing w:line="560" w:lineRule="exact"/>
      <w:ind w:firstLine="878" w:firstLineChars="200"/>
      <w:jc w:val="both"/>
    </w:pPr>
    <w:rPr>
      <w:rFonts w:ascii="仿宋_GB2312" w:hAnsi="仿宋_GB2312" w:eastAsia="仿宋_GB2312" w:cs="黑体"/>
      <w:color w:val="000000"/>
      <w:kern w:val="0"/>
      <w:sz w:val="32"/>
      <w:szCs w:val="31"/>
      <w:lang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3500</Words>
  <Characters>3594</Characters>
  <Lines>0</Lines>
  <Paragraphs>0</Paragraphs>
  <TotalTime>67</TotalTime>
  <ScaleCrop>false</ScaleCrop>
  <LinksUpToDate>false</LinksUpToDate>
  <CharactersWithSpaces>3630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2024-12-02T15:11:00Z</dcterms:created>
  <dc:creator>Administrator</dc:creator>
  <cp:lastModifiedBy>在吗借我一亿</cp:lastModifiedBy>
  <cp:lastPrinted>2024-12-02T18:01:00Z</cp:lastPrinted>
  <dcterms:modified xsi:type="dcterms:W3CDTF">2025-12-25T14:44:28Z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C4FC221A67A54F04AB5813BA17CB7599_12</vt:lpwstr>
  </property>
  <property fmtid="{D5CDD505-2E9C-101B-9397-08002B2CF9AE}" pid="4" name="KSOTemplateDocerSaveRecord">
    <vt:lpwstr>eyJoZGlkIjoiZDFhMDlmMTFhZTQ0MWZmYzBlOWUxOTFhMTc2ZTQxZDMiLCJ1c2VySWQiOiI1MDI3ODk4MTMifQ==</vt:lpwstr>
  </property>
</Properties>
</file>