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21C1C">
      <w:pPr>
        <w:pStyle w:val="4"/>
        <w:jc w:val="both"/>
        <w:rPr>
          <w:rFonts w:hint="eastAsia" w:ascii="CESI黑体-GB2312" w:hAnsi="CESI黑体-GB2312" w:eastAsia="CESI黑体-GB2312" w:cs="CESI黑体-GB2312"/>
          <w:spacing w:val="-17"/>
          <w:sz w:val="32"/>
          <w:szCs w:val="32"/>
          <w:lang w:val="en-US" w:eastAsia="zh-CN"/>
        </w:rPr>
      </w:pPr>
      <w:r>
        <w:rPr>
          <w:rFonts w:hint="eastAsia" w:ascii="CESI黑体-GB2312" w:hAnsi="CESI黑体-GB2312" w:eastAsia="CESI黑体-GB2312" w:cs="CESI黑体-GB2312"/>
          <w:spacing w:val="-17"/>
          <w:sz w:val="32"/>
          <w:szCs w:val="32"/>
          <w:lang w:val="en-US" w:eastAsia="zh-CN"/>
        </w:rPr>
        <w:t>附件4</w:t>
      </w:r>
    </w:p>
    <w:p w14:paraId="677C12B3">
      <w:pPr>
        <w:pStyle w:val="4"/>
        <w:jc w:val="both"/>
        <w:rPr>
          <w:rFonts w:hint="default" w:ascii="CESI黑体-GB2312" w:hAnsi="CESI黑体-GB2312" w:eastAsia="CESI黑体-GB2312" w:cs="CESI黑体-GB2312"/>
          <w:spacing w:val="-17"/>
          <w:sz w:val="32"/>
          <w:szCs w:val="32"/>
          <w:lang w:val="en-US" w:eastAsia="zh-CN"/>
        </w:rPr>
      </w:pPr>
    </w:p>
    <w:p w14:paraId="055D6175">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17"/>
          <w:sz w:val="44"/>
          <w:szCs w:val="44"/>
          <w:lang w:val="en-US" w:eastAsia="zh-CN"/>
        </w:rPr>
      </w:pPr>
      <w:r>
        <w:rPr>
          <w:rFonts w:hint="eastAsia" w:ascii="方正小标宋简体" w:hAnsi="方正小标宋简体" w:eastAsia="方正小标宋简体" w:cs="方正小标宋简体"/>
          <w:spacing w:val="-17"/>
          <w:sz w:val="44"/>
          <w:szCs w:val="44"/>
          <w:lang w:val="en-US" w:eastAsia="zh-CN"/>
        </w:rPr>
        <w:t>东湖区市场监督管理局关于</w:t>
      </w:r>
    </w:p>
    <w:p w14:paraId="4EC0FD0D">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17"/>
          <w:sz w:val="44"/>
          <w:szCs w:val="44"/>
          <w:lang w:val="en-US" w:eastAsia="zh-CN"/>
        </w:rPr>
      </w:pPr>
      <w:r>
        <w:rPr>
          <w:rFonts w:hint="eastAsia" w:ascii="方正小标宋简体" w:hAnsi="方正小标宋简体" w:eastAsia="方正小标宋简体" w:cs="方正小标宋简体"/>
          <w:spacing w:val="-17"/>
          <w:sz w:val="44"/>
          <w:szCs w:val="44"/>
          <w:lang w:val="en-US" w:eastAsia="zh-CN"/>
        </w:rPr>
        <w:t>2023年法治政府建设工作情况和2024年</w:t>
      </w:r>
    </w:p>
    <w:p w14:paraId="3624701B">
      <w:pPr>
        <w:pStyle w:val="4"/>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17"/>
          <w:sz w:val="44"/>
          <w:szCs w:val="44"/>
          <w:lang w:val="en-US" w:eastAsia="zh-CN"/>
        </w:rPr>
      </w:pPr>
      <w:r>
        <w:rPr>
          <w:rFonts w:hint="eastAsia" w:ascii="方正小标宋简体" w:hAnsi="方正小标宋简体" w:eastAsia="方正小标宋简体" w:cs="方正小标宋简体"/>
          <w:spacing w:val="-17"/>
          <w:sz w:val="44"/>
          <w:szCs w:val="44"/>
          <w:lang w:val="en-US" w:eastAsia="zh-CN"/>
        </w:rPr>
        <w:t>工作安排的报告</w:t>
      </w:r>
    </w:p>
    <w:p w14:paraId="0941DD9E">
      <w:pPr>
        <w:pStyle w:val="4"/>
        <w:rPr>
          <w:rFonts w:hint="default" w:ascii="仿宋_GB2312" w:hAnsi="仿宋_GB2312" w:eastAsia="仿宋_GB2312" w:cs="仿宋_GB2312"/>
          <w:spacing w:val="-17"/>
          <w:sz w:val="32"/>
          <w:szCs w:val="32"/>
          <w:lang w:val="en-US" w:eastAsia="zh-CN"/>
        </w:rPr>
      </w:pPr>
    </w:p>
    <w:p w14:paraId="34A8F4A8">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区委全面依法治区</w:t>
      </w:r>
      <w:r>
        <w:rPr>
          <w:rFonts w:hint="default" w:ascii="仿宋_GB2312" w:hAnsi="仿宋_GB2312" w:eastAsia="仿宋_GB2312" w:cs="仿宋_GB2312"/>
          <w:b w:val="0"/>
          <w:bCs w:val="0"/>
          <w:snapToGrid w:val="0"/>
          <w:color w:val="000000"/>
          <w:kern w:val="0"/>
          <w:sz w:val="32"/>
          <w:szCs w:val="32"/>
          <w:lang w:val="en-US" w:eastAsia="zh-CN" w:bidi="ar-SA"/>
        </w:rPr>
        <w:t>委员会：</w:t>
      </w:r>
    </w:p>
    <w:p w14:paraId="2C7E317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_GB2312" w:hAnsi="仿宋_GB2312" w:eastAsia="仿宋_GB2312" w:cs="仿宋_GB2312"/>
          <w:b w:val="0"/>
          <w:bCs w:val="0"/>
          <w:snapToGrid w:val="0"/>
          <w:color w:val="000000"/>
          <w:kern w:val="0"/>
          <w:sz w:val="32"/>
          <w:szCs w:val="32"/>
          <w:lang w:val="en-US" w:eastAsia="zh-CN" w:bidi="ar-SA"/>
        </w:rPr>
      </w:pPr>
      <w:r>
        <w:rPr>
          <w:rFonts w:hint="default" w:ascii="仿宋_GB2312" w:hAnsi="仿宋_GB2312" w:eastAsia="仿宋_GB2312" w:cs="仿宋_GB2312"/>
          <w:b w:val="0"/>
          <w:bCs w:val="0"/>
          <w:snapToGrid w:val="0"/>
          <w:color w:val="000000"/>
          <w:kern w:val="0"/>
          <w:sz w:val="32"/>
          <w:szCs w:val="32"/>
          <w:lang w:val="en-US" w:eastAsia="zh-CN" w:bidi="ar-SA"/>
        </w:rPr>
        <w:t>2023年，</w:t>
      </w:r>
      <w:r>
        <w:rPr>
          <w:rFonts w:hint="eastAsia" w:ascii="仿宋_GB2312" w:hAnsi="仿宋_GB2312" w:eastAsia="仿宋_GB2312" w:cs="仿宋_GB2312"/>
          <w:b w:val="0"/>
          <w:bCs w:val="0"/>
          <w:snapToGrid w:val="0"/>
          <w:color w:val="000000"/>
          <w:kern w:val="0"/>
          <w:sz w:val="32"/>
          <w:szCs w:val="32"/>
          <w:lang w:val="en-US" w:eastAsia="zh-Hans" w:bidi="ar-SA"/>
        </w:rPr>
        <w:t>东湖区市场监督管理局</w:t>
      </w:r>
      <w:r>
        <w:rPr>
          <w:rFonts w:hint="eastAsia" w:ascii="仿宋_GB2312" w:hAnsi="仿宋_GB2312" w:eastAsia="仿宋_GB2312" w:cs="仿宋_GB2312"/>
          <w:b w:val="0"/>
          <w:bCs w:val="0"/>
          <w:snapToGrid w:val="0"/>
          <w:color w:val="000000"/>
          <w:kern w:val="0"/>
          <w:sz w:val="32"/>
          <w:szCs w:val="32"/>
          <w:lang w:val="en-US" w:eastAsia="zh-CN" w:bidi="ar-SA"/>
        </w:rPr>
        <w:t>在</w:t>
      </w:r>
      <w:r>
        <w:rPr>
          <w:rFonts w:hint="eastAsia" w:ascii="仿宋_GB2312" w:hAnsi="仿宋_GB2312" w:eastAsia="仿宋_GB2312" w:cs="仿宋_GB2312"/>
          <w:b w:val="0"/>
          <w:bCs w:val="0"/>
          <w:snapToGrid w:val="0"/>
          <w:color w:val="000000"/>
          <w:kern w:val="0"/>
          <w:sz w:val="32"/>
          <w:szCs w:val="32"/>
          <w:lang w:val="en-US" w:eastAsia="zh-Hans" w:bidi="ar-SA"/>
        </w:rPr>
        <w:t>区委区政府</w:t>
      </w:r>
      <w:r>
        <w:rPr>
          <w:rFonts w:hint="eastAsia" w:ascii="仿宋_GB2312" w:hAnsi="仿宋_GB2312" w:eastAsia="仿宋_GB2312" w:cs="仿宋_GB2312"/>
          <w:b w:val="0"/>
          <w:bCs w:val="0"/>
          <w:snapToGrid w:val="0"/>
          <w:color w:val="000000"/>
          <w:kern w:val="0"/>
          <w:sz w:val="32"/>
          <w:szCs w:val="32"/>
          <w:lang w:val="en-US" w:eastAsia="zh-CN" w:bidi="ar-SA"/>
        </w:rPr>
        <w:t>的正确领导</w:t>
      </w:r>
      <w:r>
        <w:rPr>
          <w:rFonts w:hint="eastAsia" w:ascii="仿宋_GB2312" w:hAnsi="仿宋_GB2312" w:eastAsia="仿宋_GB2312" w:cs="仿宋_GB2312"/>
          <w:b w:val="0"/>
          <w:bCs w:val="0"/>
          <w:snapToGrid w:val="0"/>
          <w:color w:val="000000"/>
          <w:kern w:val="0"/>
          <w:sz w:val="32"/>
          <w:szCs w:val="32"/>
          <w:lang w:val="en-US" w:eastAsia="zh-Hans" w:bidi="ar-SA"/>
        </w:rPr>
        <w:t>下</w:t>
      </w:r>
      <w:r>
        <w:rPr>
          <w:rFonts w:hint="default" w:ascii="仿宋_GB2312" w:hAnsi="仿宋_GB2312" w:eastAsia="仿宋_GB2312" w:cs="仿宋_GB2312"/>
          <w:b w:val="0"/>
          <w:bCs w:val="0"/>
          <w:snapToGrid w:val="0"/>
          <w:color w:val="000000"/>
          <w:kern w:val="0"/>
          <w:sz w:val="32"/>
          <w:szCs w:val="32"/>
          <w:lang w:val="en-US" w:eastAsia="zh-Hans" w:bidi="ar-SA"/>
        </w:rPr>
        <w:t>，</w:t>
      </w:r>
      <w:r>
        <w:rPr>
          <w:rFonts w:hint="eastAsia" w:ascii="仿宋_GB2312" w:hAnsi="仿宋_GB2312" w:eastAsia="仿宋_GB2312" w:cs="仿宋_GB2312"/>
          <w:b w:val="0"/>
          <w:bCs w:val="0"/>
          <w:snapToGrid w:val="0"/>
          <w:color w:val="000000"/>
          <w:kern w:val="0"/>
          <w:sz w:val="32"/>
          <w:szCs w:val="32"/>
          <w:lang w:val="en-US" w:eastAsia="zh-CN" w:bidi="ar-SA"/>
        </w:rPr>
        <w:t>围绕法治政府建设各项工作要点，认真开展法治市监建设。</w:t>
      </w:r>
      <w:r>
        <w:rPr>
          <w:rFonts w:hint="default" w:ascii="仿宋_GB2312" w:hAnsi="仿宋_GB2312" w:eastAsia="仿宋_GB2312" w:cs="仿宋_GB2312"/>
          <w:b w:val="0"/>
          <w:bCs w:val="0"/>
          <w:snapToGrid w:val="0"/>
          <w:color w:val="000000"/>
          <w:kern w:val="0"/>
          <w:sz w:val="32"/>
          <w:szCs w:val="32"/>
          <w:lang w:val="en-US" w:eastAsia="zh-CN" w:bidi="ar-SA"/>
        </w:rPr>
        <w:t>现将我</w:t>
      </w:r>
      <w:r>
        <w:rPr>
          <w:rFonts w:hint="eastAsia" w:ascii="仿宋_GB2312" w:hAnsi="仿宋_GB2312" w:eastAsia="仿宋_GB2312" w:cs="仿宋_GB2312"/>
          <w:b w:val="0"/>
          <w:bCs w:val="0"/>
          <w:snapToGrid w:val="0"/>
          <w:color w:val="000000"/>
          <w:kern w:val="0"/>
          <w:sz w:val="32"/>
          <w:szCs w:val="32"/>
          <w:lang w:val="en-US" w:eastAsia="zh-CN" w:bidi="ar-SA"/>
        </w:rPr>
        <w:t>局</w:t>
      </w:r>
      <w:r>
        <w:rPr>
          <w:rFonts w:hint="default" w:ascii="仿宋_GB2312" w:hAnsi="仿宋_GB2312" w:eastAsia="仿宋_GB2312" w:cs="仿宋_GB2312"/>
          <w:b w:val="0"/>
          <w:bCs w:val="0"/>
          <w:snapToGrid w:val="0"/>
          <w:color w:val="000000"/>
          <w:kern w:val="0"/>
          <w:sz w:val="32"/>
          <w:szCs w:val="32"/>
          <w:lang w:val="en-US" w:eastAsia="zh-CN" w:bidi="ar-SA"/>
        </w:rPr>
        <w:t>2023年法治政府建设工作情况和2024年工作安排报告如下。</w:t>
      </w:r>
    </w:p>
    <w:p w14:paraId="633B1DC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黑体" w:hAnsi="黑体" w:eastAsia="黑体" w:cs="黑体"/>
          <w:b w:val="0"/>
          <w:bCs w:val="0"/>
          <w:snapToGrid w:val="0"/>
          <w:color w:val="000000"/>
          <w:kern w:val="0"/>
          <w:sz w:val="32"/>
          <w:szCs w:val="32"/>
          <w:lang w:val="en-US" w:eastAsia="zh-CN" w:bidi="ar-SA"/>
        </w:rPr>
        <w:t>一、2023年法治政府建设主要工作及成效</w:t>
      </w:r>
    </w:p>
    <w:p w14:paraId="78B149BE">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val="0"/>
          <w:snapToGrid w:val="0"/>
          <w:color w:val="000000"/>
          <w:kern w:val="2"/>
          <w:sz w:val="32"/>
          <w:szCs w:val="32"/>
          <w:lang w:val="en-US" w:eastAsia="zh-CN" w:bidi="ar-SA"/>
        </w:rPr>
      </w:pPr>
      <w:r>
        <w:rPr>
          <w:rFonts w:hint="eastAsia" w:ascii="楷体_GB2312" w:hAnsi="楷体_GB2312" w:eastAsia="楷体_GB2312" w:cs="楷体_GB2312"/>
          <w:b/>
          <w:bCs w:val="0"/>
          <w:snapToGrid w:val="0"/>
          <w:color w:val="000000"/>
          <w:kern w:val="2"/>
          <w:sz w:val="32"/>
          <w:szCs w:val="32"/>
          <w:lang w:val="en-US" w:eastAsia="zh-CN" w:bidi="ar-SA"/>
        </w:rPr>
        <w:t>（一）深入学习贯彻党的二十大精神和习近平法治思想</w:t>
      </w:r>
    </w:p>
    <w:p w14:paraId="036C394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法治市场监管建设是法治国家、法治政府、法治社会建设的重要组成部分，是实现市场监管体系和监管能力现代化的重要支撑。我局通过开</w:t>
      </w:r>
      <w:r>
        <w:rPr>
          <w:rFonts w:hint="eastAsia" w:ascii="仿宋_GB2312" w:hAnsi="仿宋_GB2312" w:eastAsia="仿宋_GB2312" w:cs="仿宋_GB2312"/>
          <w:b w:val="0"/>
          <w:bCs/>
          <w:snapToGrid w:val="0"/>
          <w:color w:val="000000"/>
          <w:kern w:val="2"/>
          <w:sz w:val="32"/>
          <w:szCs w:val="32"/>
          <w:lang w:val="en-US" w:eastAsia="zh-CN" w:bidi="ar-SA"/>
        </w:rPr>
        <w:t>展党的二</w:t>
      </w:r>
      <w:r>
        <w:rPr>
          <w:rFonts w:hint="eastAsia" w:ascii="仿宋_GB2312" w:hAnsi="仿宋_GB2312" w:eastAsia="仿宋_GB2312" w:cs="仿宋_GB2312"/>
          <w:b w:val="0"/>
          <w:bCs w:val="0"/>
          <w:snapToGrid w:val="0"/>
          <w:color w:val="000000"/>
          <w:kern w:val="0"/>
          <w:sz w:val="32"/>
          <w:szCs w:val="32"/>
          <w:lang w:val="en-US" w:eastAsia="zh-CN" w:bidi="ar-SA"/>
        </w:rPr>
        <w:t>十大精神宣讲会、学习贯彻习近平法治思想专题会等形式，让全局工作人员深刻认识到习近平法治思想是法治市场监管建设的根本遵循，要坚持党对全面依法治国的领导这一根本保证，坚持以人民为中心这一根本立场，坚持建设中国特色社会主义法治体系这一总抓手，全面提升市场监管法治化水平，不断推进法治市场监管工作。</w:t>
      </w:r>
    </w:p>
    <w:p w14:paraId="08A30AD1">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楷体_GB2312" w:hAnsi="楷体_GB2312" w:eastAsia="楷体_GB2312" w:cs="楷体_GB2312"/>
          <w:b/>
          <w:bCs w:val="0"/>
          <w:snapToGrid w:val="0"/>
          <w:color w:val="000000"/>
          <w:kern w:val="2"/>
          <w:sz w:val="32"/>
          <w:szCs w:val="32"/>
          <w:lang w:val="en-US" w:eastAsia="zh-CN" w:bidi="ar-SA"/>
        </w:rPr>
      </w:pPr>
      <w:r>
        <w:rPr>
          <w:rFonts w:hint="eastAsia" w:ascii="楷体_GB2312" w:hAnsi="楷体_GB2312" w:eastAsia="楷体_GB2312" w:cs="楷体_GB2312"/>
          <w:b/>
          <w:bCs w:val="0"/>
          <w:snapToGrid w:val="0"/>
          <w:color w:val="000000"/>
          <w:kern w:val="2"/>
          <w:sz w:val="32"/>
          <w:szCs w:val="32"/>
          <w:lang w:val="en-US" w:eastAsia="zh-CN" w:bidi="ar-SA"/>
        </w:rPr>
        <w:t>（二）坚持深化改革，推动政府职能转变</w:t>
      </w:r>
    </w:p>
    <w:p w14:paraId="41DBCCF1">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1.持续推进“放管服”改革。</w:t>
      </w:r>
      <w:r>
        <w:rPr>
          <w:rFonts w:hint="eastAsia" w:ascii="仿宋_GB2312" w:hAnsi="仿宋_GB2312" w:eastAsia="仿宋_GB2312" w:cs="仿宋_GB2312"/>
          <w:b w:val="0"/>
          <w:bCs w:val="0"/>
          <w:snapToGrid w:val="0"/>
          <w:color w:val="000000"/>
          <w:kern w:val="0"/>
          <w:sz w:val="32"/>
          <w:szCs w:val="32"/>
          <w:lang w:val="en-US" w:eastAsia="zh-CN" w:bidi="ar-SA"/>
        </w:rPr>
        <w:t>我局</w:t>
      </w:r>
      <w:r>
        <w:rPr>
          <w:rFonts w:hint="eastAsia" w:ascii="仿宋_GB2312" w:hAnsi="仿宋_GB2312" w:eastAsia="仿宋_GB2312" w:cs="仿宋_GB2312"/>
          <w:b/>
          <w:bCs/>
          <w:snapToGrid w:val="0"/>
          <w:color w:val="000000"/>
          <w:kern w:val="0"/>
          <w:sz w:val="32"/>
          <w:szCs w:val="32"/>
          <w:lang w:val="en-US" w:eastAsia="zh-CN" w:bidi="ar-SA"/>
        </w:rPr>
        <w:t>一是</w:t>
      </w:r>
      <w:r>
        <w:rPr>
          <w:rFonts w:hint="eastAsia" w:ascii="仿宋_GB2312" w:hAnsi="仿宋_GB2312" w:eastAsia="仿宋_GB2312" w:cs="仿宋_GB2312"/>
          <w:b w:val="0"/>
          <w:bCs w:val="0"/>
          <w:snapToGrid w:val="0"/>
          <w:color w:val="000000"/>
          <w:kern w:val="0"/>
          <w:sz w:val="32"/>
          <w:szCs w:val="32"/>
          <w:lang w:val="en-US" w:eastAsia="zh-CN" w:bidi="ar-SA"/>
        </w:rPr>
        <w:t>依托江西省企业登记网络服务平台“一网通办”平台，继续拓展无纸全程电子化登记适用范围，已实现各类企业及分支机构登记无纸化。</w:t>
      </w:r>
      <w:r>
        <w:rPr>
          <w:rFonts w:hint="eastAsia" w:ascii="仿宋_GB2312" w:hAnsi="仿宋_GB2312" w:eastAsia="仿宋_GB2312" w:cs="仿宋_GB2312"/>
          <w:b/>
          <w:bCs/>
          <w:snapToGrid w:val="0"/>
          <w:color w:val="000000"/>
          <w:kern w:val="0"/>
          <w:sz w:val="32"/>
          <w:szCs w:val="32"/>
          <w:lang w:val="en-US" w:eastAsia="zh-CN" w:bidi="ar-SA"/>
        </w:rPr>
        <w:t>二是</w:t>
      </w:r>
      <w:r>
        <w:rPr>
          <w:rFonts w:hint="eastAsia" w:ascii="仿宋_GB2312" w:hAnsi="仿宋_GB2312" w:eastAsia="仿宋_GB2312" w:cs="仿宋_GB2312"/>
          <w:b w:val="0"/>
          <w:bCs w:val="0"/>
          <w:snapToGrid w:val="0"/>
          <w:color w:val="000000"/>
          <w:kern w:val="0"/>
          <w:sz w:val="32"/>
          <w:szCs w:val="32"/>
          <w:lang w:val="en-US" w:eastAsia="zh-CN" w:bidi="ar-SA"/>
        </w:rPr>
        <w:t>对不涉及前置许可的大型企业分支机构、连锁门店变更执照信息“集中管理、统一申办”。</w:t>
      </w:r>
      <w:r>
        <w:rPr>
          <w:rFonts w:hint="eastAsia" w:ascii="仿宋_GB2312" w:hAnsi="仿宋_GB2312" w:eastAsia="仿宋_GB2312" w:cs="仿宋_GB2312"/>
          <w:b/>
          <w:bCs/>
          <w:snapToGrid w:val="0"/>
          <w:color w:val="000000"/>
          <w:kern w:val="0"/>
          <w:sz w:val="32"/>
          <w:szCs w:val="32"/>
          <w:lang w:val="en-US" w:eastAsia="zh-CN" w:bidi="ar-SA"/>
        </w:rPr>
        <w:t>三是</w:t>
      </w:r>
      <w:r>
        <w:rPr>
          <w:rFonts w:hint="eastAsia" w:ascii="仿宋_GB2312" w:hAnsi="仿宋_GB2312" w:eastAsia="仿宋_GB2312" w:cs="仿宋_GB2312"/>
          <w:b w:val="0"/>
          <w:bCs w:val="0"/>
          <w:snapToGrid w:val="0"/>
          <w:color w:val="000000"/>
          <w:kern w:val="0"/>
          <w:sz w:val="32"/>
          <w:szCs w:val="32"/>
          <w:lang w:val="en-US" w:eastAsia="zh-CN" w:bidi="ar-SA"/>
        </w:rPr>
        <w:t>开展地方特色经营范围公示工作，引导企业办理特色经营范围公示业务。</w:t>
      </w:r>
      <w:r>
        <w:rPr>
          <w:rFonts w:hint="eastAsia" w:ascii="仿宋_GB2312" w:hAnsi="仿宋_GB2312" w:eastAsia="仿宋_GB2312" w:cs="仿宋_GB2312"/>
          <w:b/>
          <w:bCs/>
          <w:snapToGrid w:val="0"/>
          <w:color w:val="000000"/>
          <w:kern w:val="0"/>
          <w:sz w:val="32"/>
          <w:szCs w:val="32"/>
          <w:lang w:val="en-US" w:eastAsia="zh-CN" w:bidi="ar-SA"/>
        </w:rPr>
        <w:t>四是</w:t>
      </w:r>
      <w:r>
        <w:rPr>
          <w:rFonts w:hint="eastAsia" w:ascii="仿宋_GB2312" w:hAnsi="仿宋_GB2312" w:eastAsia="仿宋_GB2312" w:cs="仿宋_GB2312"/>
          <w:b w:val="0"/>
          <w:bCs w:val="0"/>
          <w:snapToGrid w:val="0"/>
          <w:color w:val="000000"/>
          <w:kern w:val="0"/>
          <w:sz w:val="32"/>
          <w:szCs w:val="32"/>
          <w:lang w:val="en-US" w:eastAsia="zh-CN" w:bidi="ar-SA"/>
        </w:rPr>
        <w:t>深入推进歇业备案制度，打破以往“一刀切”注销退市模式。</w:t>
      </w:r>
      <w:r>
        <w:rPr>
          <w:rFonts w:hint="eastAsia" w:ascii="仿宋_GB2312" w:hAnsi="仿宋_GB2312" w:eastAsia="仿宋_GB2312" w:cs="仿宋_GB2312"/>
          <w:b/>
          <w:bCs/>
          <w:snapToGrid w:val="0"/>
          <w:color w:val="000000"/>
          <w:kern w:val="0"/>
          <w:sz w:val="32"/>
          <w:szCs w:val="32"/>
          <w:lang w:val="en-US" w:eastAsia="zh-CN" w:bidi="ar-SA"/>
        </w:rPr>
        <w:t>五是</w:t>
      </w:r>
      <w:r>
        <w:rPr>
          <w:rFonts w:hint="eastAsia" w:ascii="仿宋_GB2312" w:hAnsi="仿宋_GB2312" w:eastAsia="仿宋_GB2312" w:cs="仿宋_GB2312"/>
          <w:b w:val="0"/>
          <w:bCs w:val="0"/>
          <w:snapToGrid w:val="0"/>
          <w:color w:val="000000"/>
          <w:kern w:val="0"/>
          <w:sz w:val="32"/>
          <w:szCs w:val="32"/>
          <w:lang w:val="en-US" w:eastAsia="zh-CN" w:bidi="ar-SA"/>
        </w:rPr>
        <w:t>落实《关于优化办理破产清算（强制清算）企业相关登记事项的意见（试行）》，推动破产重整企业登记便利化。</w:t>
      </w:r>
    </w:p>
    <w:p w14:paraId="5F03B614">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2.进一步健全公平竞争审查机制。</w:t>
      </w:r>
      <w:r>
        <w:rPr>
          <w:rFonts w:hint="eastAsia" w:ascii="仿宋_GB2312" w:hAnsi="仿宋_GB2312" w:eastAsia="仿宋_GB2312" w:cs="仿宋_GB2312"/>
          <w:b w:val="0"/>
          <w:bCs w:val="0"/>
          <w:snapToGrid w:val="0"/>
          <w:color w:val="000000"/>
          <w:kern w:val="0"/>
          <w:sz w:val="32"/>
          <w:szCs w:val="32"/>
          <w:lang w:val="en-US" w:eastAsia="zh-CN" w:bidi="ar-SA"/>
        </w:rPr>
        <w:t>我局联合区公平竞争审查各成员单位，制定《南昌市东湖区开展妨碍统一市场和公平竞争的政策措施清理的工作方案》，预防和制止滥用行政权力排除限制竞争，从源头上减少侵害企业合法权益的行为，深入贯彻落实党的二十大相关部署。</w:t>
      </w:r>
    </w:p>
    <w:p w14:paraId="467D0262">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default"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3.全面推进包容审慎执法。</w:t>
      </w:r>
      <w:r>
        <w:rPr>
          <w:rFonts w:hint="eastAsia" w:ascii="仿宋_GB2312" w:hAnsi="仿宋_GB2312" w:eastAsia="仿宋_GB2312" w:cs="仿宋_GB2312"/>
          <w:b w:val="0"/>
          <w:bCs w:val="0"/>
          <w:snapToGrid w:val="0"/>
          <w:color w:val="000000"/>
          <w:kern w:val="0"/>
          <w:sz w:val="32"/>
          <w:szCs w:val="32"/>
          <w:lang w:val="en-US" w:eastAsia="zh-CN" w:bidi="ar-SA"/>
        </w:rPr>
        <w:t>我局根据《南昌市市场监督管理局关于推进“四新经济”包容审慎监管措施的实施意见》《南昌市市场监督管理局多领域轻微违法行为不予行政处罚清单》《南昌市市场监管局关于印发&lt;南昌市市场监督管理领域从轻行政处罚清单、减轻行政处罚清单和少用慎用行政强制措施清单（1.0 版）&gt;的通知》文件要求，积极探索包容审慎监管模式，全面持续推行轻微违法行为免予处罚制度和“首违不罚”，在执法过程中广泛运用说服教育、指导约谈等方式，大幅提升行政执法质量和效能。截至目前，我局共6起免于处罚案件，共24起减轻或从轻处罚案件。</w:t>
      </w:r>
    </w:p>
    <w:p w14:paraId="33DF7307">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val="0"/>
          <w:snapToGrid w:val="0"/>
          <w:color w:val="000000"/>
          <w:kern w:val="2"/>
          <w:sz w:val="32"/>
          <w:szCs w:val="32"/>
          <w:lang w:val="en-US" w:eastAsia="zh-CN" w:bidi="ar-SA"/>
        </w:rPr>
      </w:pPr>
      <w:r>
        <w:rPr>
          <w:rFonts w:hint="eastAsia" w:ascii="楷体_GB2312" w:hAnsi="楷体_GB2312" w:eastAsia="楷体_GB2312" w:cs="楷体_GB2312"/>
          <w:b/>
          <w:bCs w:val="0"/>
          <w:snapToGrid w:val="0"/>
          <w:color w:val="000000"/>
          <w:kern w:val="2"/>
          <w:sz w:val="32"/>
          <w:szCs w:val="32"/>
          <w:lang w:val="en-US" w:eastAsia="zh-CN" w:bidi="ar-SA"/>
        </w:rPr>
        <w:t>（三）完善工作机制，推进执法规范化建设</w:t>
      </w:r>
    </w:p>
    <w:p w14:paraId="53396611">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1.提升行政执法质效。</w:t>
      </w:r>
      <w:r>
        <w:rPr>
          <w:rFonts w:hint="eastAsia" w:ascii="仿宋_GB2312" w:hAnsi="仿宋_GB2312" w:eastAsia="仿宋_GB2312" w:cs="仿宋_GB2312"/>
          <w:b w:val="0"/>
          <w:bCs w:val="0"/>
          <w:snapToGrid w:val="0"/>
          <w:color w:val="000000"/>
          <w:kern w:val="0"/>
          <w:sz w:val="32"/>
          <w:szCs w:val="32"/>
          <w:lang w:val="en-US" w:eastAsia="zh-CN" w:bidi="ar-SA"/>
        </w:rPr>
        <w:t>我局全面贯彻落实行政执法“三项制度”，实现执法信息公开透明、执法全过程留痕、执法决定合法有效。截至目前，我局共立案98起，共结案54起，开展行政听证案件2起，罚没金额共166599.88元，案件核审率达100%。共移送南昌市执法稽查局东湖分局案件11起，移送南昌市公安局东湖分局案件6起。共处理市、区法制办行政复议案件74起。</w:t>
      </w:r>
    </w:p>
    <w:p w14:paraId="6AA65989">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2.加强行政执法队伍建设。</w:t>
      </w:r>
      <w:r>
        <w:rPr>
          <w:rFonts w:hint="eastAsia" w:ascii="仿宋_GB2312" w:hAnsi="仿宋_GB2312" w:eastAsia="仿宋_GB2312" w:cs="仿宋_GB2312"/>
          <w:b w:val="0"/>
          <w:bCs w:val="0"/>
          <w:snapToGrid w:val="0"/>
          <w:color w:val="000000"/>
          <w:kern w:val="0"/>
          <w:sz w:val="32"/>
          <w:szCs w:val="32"/>
          <w:lang w:val="en-US" w:eastAsia="zh-CN" w:bidi="ar-SA"/>
        </w:rPr>
        <w:t>我局严格执行持证上岗、亮证执法和执法资格动态管理等经常性工作，相关人员已全面换发全国统一证件。注重执法工作人才队伍建设，今年多次开展实务培训，同时通过参与全省、全市业务培训班及在其他区局授课交流的形式，不断提升全局行政执法工作规范化、科学化。我局还要求全局工作人员利用江西干部网络学院和国家市场监督管理总局网络学院进行线上学习。</w:t>
      </w:r>
    </w:p>
    <w:p w14:paraId="5A28699D">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3.强化行政执法协调监督。</w:t>
      </w:r>
      <w:r>
        <w:rPr>
          <w:rFonts w:hint="eastAsia" w:ascii="仿宋_GB2312" w:hAnsi="仿宋_GB2312" w:eastAsia="仿宋_GB2312" w:cs="仿宋_GB2312"/>
          <w:b w:val="0"/>
          <w:bCs w:val="0"/>
          <w:snapToGrid w:val="0"/>
          <w:color w:val="000000"/>
          <w:kern w:val="0"/>
          <w:sz w:val="32"/>
          <w:szCs w:val="32"/>
          <w:lang w:val="en-US" w:eastAsia="zh-CN" w:bidi="ar-SA"/>
        </w:rPr>
        <w:t>我局严格落实行政执法责任制和责任追究制度。除有法定依据外，严禁要求特定区域或行业、领域的市场主体普遍停产停业，严禁下达或变相下达罚没指标，严禁罚没收入同执法人员考核考评挂钩。</w:t>
      </w:r>
    </w:p>
    <w:p w14:paraId="3D29003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在监管工作中，我局一方面按照《关于全面推进2023年南昌市东湖区“双随机、一公开”监管工作的通知》文件要求，已完成全部抽查检查计划和联合检查。另一方面组织开展“铁拳”行动，深入推进“创文巩卫”工作，积极开展专业市场综合治理，加大对食品药品、安全生产等关系群众切身利益的重点领域执法力度，</w:t>
      </w:r>
      <w:r>
        <w:rPr>
          <w:rFonts w:hint="eastAsia" w:ascii="仿宋_GB2312" w:hAnsi="仿宋_GB2312" w:eastAsia="仿宋_GB2312" w:cs="仿宋_GB2312"/>
          <w:b w:val="0"/>
          <w:bCs w:val="0"/>
          <w:snapToGrid w:val="0"/>
          <w:color w:val="000000"/>
          <w:kern w:val="0"/>
          <w:sz w:val="32"/>
          <w:szCs w:val="32"/>
          <w:lang w:val="en" w:eastAsia="zh-CN" w:bidi="ar-SA"/>
        </w:rPr>
        <w:t>畅通维权渠道，</w:t>
      </w:r>
      <w:r>
        <w:rPr>
          <w:rFonts w:hint="eastAsia" w:ascii="仿宋_GB2312" w:hAnsi="仿宋_GB2312" w:eastAsia="仿宋_GB2312" w:cs="仿宋_GB2312"/>
          <w:b w:val="0"/>
          <w:bCs w:val="0"/>
          <w:snapToGrid w:val="0"/>
          <w:color w:val="000000"/>
          <w:kern w:val="0"/>
          <w:sz w:val="32"/>
          <w:szCs w:val="32"/>
          <w:lang w:val="en-US" w:eastAsia="zh-CN" w:bidi="ar-SA"/>
        </w:rPr>
        <w:t>全力维护市场秩序稳定。</w:t>
      </w:r>
    </w:p>
    <w:p w14:paraId="32718CE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在规范行政执法案卷工作方面，我局参与了今年上半年全市市场监管系统行政处罚案卷评查工作，共提交2022年度受委托办结的行政处罚案件16起。我局针对评查中发现的问题逐一进行整改，切实提高案卷质量和执法人员办案水平，促进执法工作规范化水平提升。</w:t>
      </w:r>
    </w:p>
    <w:p w14:paraId="2901134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CESI黑体-GB2312" w:hAnsi="CESI黑体-GB2312" w:eastAsia="CESI黑体-GB2312" w:cs="CESI黑体-GB2312"/>
          <w:b w:val="0"/>
          <w:bCs/>
          <w:snapToGrid w:val="0"/>
          <w:color w:val="000000"/>
          <w:kern w:val="2"/>
          <w:sz w:val="32"/>
          <w:szCs w:val="32"/>
          <w:lang w:val="en-US" w:eastAsia="zh-CN" w:bidi="ar-SA"/>
        </w:rPr>
        <w:t>二、存在的主要问题</w:t>
      </w:r>
    </w:p>
    <w:p w14:paraId="732659C9">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CESI楷体-GB13000" w:hAnsi="CESI楷体-GB13000" w:eastAsia="CESI楷体-GB13000" w:cs="CESI楷体-GB13000"/>
          <w:b w:val="0"/>
          <w:bCs/>
          <w:snapToGrid w:val="0"/>
          <w:color w:val="000000"/>
          <w:kern w:val="2"/>
          <w:sz w:val="32"/>
          <w:szCs w:val="32"/>
          <w:lang w:val="en-US" w:eastAsia="zh-CN" w:bidi="ar-SA"/>
        </w:rPr>
      </w:pPr>
      <w:r>
        <w:rPr>
          <w:rFonts w:hint="eastAsia" w:ascii="楷体_GB2312" w:hAnsi="楷体_GB2312" w:eastAsia="楷体_GB2312" w:cs="楷体_GB2312"/>
          <w:b/>
          <w:bCs w:val="0"/>
          <w:snapToGrid w:val="0"/>
          <w:color w:val="000000"/>
          <w:kern w:val="2"/>
          <w:sz w:val="32"/>
          <w:szCs w:val="32"/>
          <w:lang w:val="en-US" w:eastAsia="zh-CN" w:bidi="ar-SA"/>
        </w:rPr>
        <w:t>（一）执法力量不足</w:t>
      </w:r>
    </w:p>
    <w:p w14:paraId="02944A0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sz w:val="32"/>
          <w:szCs w:val="32"/>
          <w:lang w:val="en-US" w:eastAsia="zh-CN"/>
        </w:rPr>
        <w:t>市场监管工作覆盖面广，但我局执法力量相对不足，人员老龄化、结构断层问题明显。在医疗器械、特种设备等领域，缺少专业技术人员，在日益专业化、规范化的监管工作中捉襟见肘。</w:t>
      </w:r>
    </w:p>
    <w:p w14:paraId="4659DACA">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val="0"/>
          <w:snapToGrid w:val="0"/>
          <w:color w:val="000000"/>
          <w:kern w:val="2"/>
          <w:sz w:val="32"/>
          <w:szCs w:val="32"/>
          <w:lang w:val="en-US" w:eastAsia="zh-CN" w:bidi="ar-SA"/>
        </w:rPr>
      </w:pPr>
      <w:r>
        <w:rPr>
          <w:rFonts w:hint="eastAsia" w:ascii="楷体_GB2312" w:hAnsi="楷体_GB2312" w:eastAsia="楷体_GB2312" w:cs="楷体_GB2312"/>
          <w:b/>
          <w:bCs w:val="0"/>
          <w:snapToGrid w:val="0"/>
          <w:color w:val="000000"/>
          <w:kern w:val="2"/>
          <w:sz w:val="32"/>
          <w:szCs w:val="32"/>
          <w:lang w:val="en-US" w:eastAsia="zh-CN" w:bidi="ar-SA"/>
        </w:rPr>
        <w:t>（二）“职业打假人”严重干扰正常工作秩序</w:t>
      </w:r>
    </w:p>
    <w:p w14:paraId="0567BB5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今年以来，我局同步处理市法制办及区法制办的行政复议案件，截至目前数据，相比2022年全年增加了57件，“职业打假人”多头复议、重复复议问题严重，已严重干扰我局行政执法人员的日常工作。</w:t>
      </w:r>
    </w:p>
    <w:p w14:paraId="659C66C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CESI黑体-GB2312" w:hAnsi="CESI黑体-GB2312" w:eastAsia="CESI黑体-GB2312" w:cs="CESI黑体-GB2312"/>
          <w:b w:val="0"/>
          <w:bCs/>
          <w:snapToGrid w:val="0"/>
          <w:color w:val="000000"/>
          <w:kern w:val="2"/>
          <w:sz w:val="32"/>
          <w:szCs w:val="32"/>
          <w:lang w:val="en-US" w:eastAsia="zh-CN" w:bidi="ar-SA"/>
        </w:rPr>
      </w:pPr>
      <w:r>
        <w:rPr>
          <w:rFonts w:hint="eastAsia" w:ascii="CESI黑体-GB2312" w:hAnsi="CESI黑体-GB2312" w:eastAsia="CESI黑体-GB2312" w:cs="CESI黑体-GB2312"/>
          <w:b w:val="0"/>
          <w:bCs/>
          <w:snapToGrid w:val="0"/>
          <w:color w:val="000000"/>
          <w:kern w:val="2"/>
          <w:sz w:val="32"/>
          <w:szCs w:val="32"/>
          <w:lang w:val="en-US" w:eastAsia="zh-CN" w:bidi="ar-SA"/>
        </w:rPr>
        <w:t>三、主要负责人履行职责情况</w:t>
      </w:r>
    </w:p>
    <w:p w14:paraId="605F159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我局主要负责人</w:t>
      </w:r>
      <w:r>
        <w:rPr>
          <w:rFonts w:hint="eastAsia" w:ascii="仿宋_GB2312" w:hAnsi="仿宋_GB2312" w:eastAsia="仿宋_GB2312" w:cs="仿宋_GB2312"/>
          <w:b/>
          <w:bCs/>
          <w:snapToGrid w:val="0"/>
          <w:color w:val="000000"/>
          <w:kern w:val="0"/>
          <w:sz w:val="32"/>
          <w:szCs w:val="32"/>
          <w:lang w:val="en-US" w:eastAsia="zh-CN" w:bidi="ar-SA"/>
        </w:rPr>
        <w:t>一是</w:t>
      </w:r>
      <w:r>
        <w:rPr>
          <w:rFonts w:hint="eastAsia" w:ascii="仿宋_GB2312" w:hAnsi="仿宋_GB2312" w:eastAsia="仿宋_GB2312" w:cs="仿宋_GB2312"/>
          <w:b w:val="0"/>
          <w:bCs w:val="0"/>
          <w:snapToGrid w:val="0"/>
          <w:color w:val="000000"/>
          <w:kern w:val="0"/>
          <w:sz w:val="32"/>
          <w:szCs w:val="32"/>
          <w:lang w:val="en-US" w:eastAsia="zh-CN" w:bidi="ar-SA"/>
        </w:rPr>
        <w:t>带头深入学习贯彻习近平法治思想，贯彻落实习近平总书记关于法治建设的重要指示精神情况，贯彻落实党中央关于全面依法治国的重大决策部署﹑省委关于全面依法治省工作要求。</w:t>
      </w:r>
      <w:r>
        <w:rPr>
          <w:rFonts w:hint="eastAsia" w:ascii="仿宋_GB2312" w:hAnsi="仿宋_GB2312" w:eastAsia="仿宋_GB2312" w:cs="仿宋_GB2312"/>
          <w:b/>
          <w:bCs/>
          <w:snapToGrid w:val="0"/>
          <w:color w:val="000000"/>
          <w:kern w:val="0"/>
          <w:sz w:val="32"/>
          <w:szCs w:val="32"/>
          <w:lang w:val="en-US" w:eastAsia="zh-CN" w:bidi="ar-SA"/>
        </w:rPr>
        <w:t>二是</w:t>
      </w:r>
      <w:r>
        <w:rPr>
          <w:rFonts w:hint="eastAsia" w:ascii="仿宋_GB2312" w:hAnsi="仿宋_GB2312" w:eastAsia="仿宋_GB2312" w:cs="仿宋_GB2312"/>
          <w:b w:val="0"/>
          <w:bCs w:val="0"/>
          <w:snapToGrid w:val="0"/>
          <w:color w:val="000000"/>
          <w:kern w:val="0"/>
          <w:sz w:val="32"/>
          <w:szCs w:val="32"/>
          <w:lang w:val="en-US" w:eastAsia="zh-CN" w:bidi="ar-SA"/>
        </w:rPr>
        <w:t>严格督促领导班子其他成员和下级单位主要负责人依法行政、从严治政，开展学习先进典型和警示教育活动，进一步加强党风廉政建设。</w:t>
      </w:r>
      <w:r>
        <w:rPr>
          <w:rFonts w:hint="eastAsia" w:ascii="仿宋_GB2312" w:hAnsi="仿宋_GB2312" w:eastAsia="仿宋_GB2312" w:cs="仿宋_GB2312"/>
          <w:b/>
          <w:bCs/>
          <w:snapToGrid w:val="0"/>
          <w:color w:val="000000"/>
          <w:kern w:val="0"/>
          <w:sz w:val="32"/>
          <w:szCs w:val="32"/>
          <w:lang w:val="en-US" w:eastAsia="zh-CN" w:bidi="ar-SA"/>
        </w:rPr>
        <w:t>三是</w:t>
      </w:r>
      <w:r>
        <w:rPr>
          <w:rFonts w:hint="eastAsia" w:ascii="仿宋_GB2312" w:hAnsi="仿宋_GB2312" w:eastAsia="仿宋_GB2312" w:cs="仿宋_GB2312"/>
          <w:b w:val="0"/>
          <w:bCs w:val="0"/>
          <w:snapToGrid w:val="0"/>
          <w:color w:val="000000"/>
          <w:kern w:val="0"/>
          <w:sz w:val="32"/>
          <w:szCs w:val="32"/>
          <w:lang w:val="en-US" w:eastAsia="zh-CN" w:bidi="ar-SA"/>
        </w:rPr>
        <w:t>严格执行重大行政决策法定程序，落实法律顾问制度，督促落实我局行政执法“三项制度”。</w:t>
      </w:r>
      <w:r>
        <w:rPr>
          <w:rFonts w:hint="eastAsia" w:ascii="仿宋_GB2312" w:hAnsi="仿宋_GB2312" w:eastAsia="仿宋_GB2312" w:cs="仿宋_GB2312"/>
          <w:b/>
          <w:bCs/>
          <w:snapToGrid w:val="0"/>
          <w:color w:val="000000"/>
          <w:kern w:val="0"/>
          <w:sz w:val="32"/>
          <w:szCs w:val="32"/>
          <w:lang w:val="en-US" w:eastAsia="zh-CN" w:bidi="ar-SA"/>
        </w:rPr>
        <w:t>四是</w:t>
      </w:r>
      <w:r>
        <w:rPr>
          <w:rFonts w:hint="eastAsia" w:ascii="仿宋_GB2312" w:hAnsi="仿宋_GB2312" w:eastAsia="仿宋_GB2312" w:cs="仿宋_GB2312"/>
          <w:b w:val="0"/>
          <w:bCs w:val="0"/>
          <w:snapToGrid w:val="0"/>
          <w:color w:val="000000"/>
          <w:kern w:val="0"/>
          <w:sz w:val="32"/>
          <w:szCs w:val="32"/>
          <w:lang w:val="en-US" w:eastAsia="zh-CN" w:bidi="ar-SA"/>
        </w:rPr>
        <w:t>加强行政执法规范化建设，督促各业务股室及分局按时完成“双随机、一公开”抽查检查工作，加大对食品药品等关系群众切身利益的重点领域执法力度，强化行政执法监督。</w:t>
      </w:r>
      <w:r>
        <w:rPr>
          <w:rFonts w:hint="eastAsia" w:ascii="仿宋_GB2312" w:hAnsi="仿宋_GB2312" w:eastAsia="仿宋_GB2312" w:cs="仿宋_GB2312"/>
          <w:b/>
          <w:bCs/>
          <w:snapToGrid w:val="0"/>
          <w:color w:val="000000"/>
          <w:kern w:val="0"/>
          <w:sz w:val="32"/>
          <w:szCs w:val="32"/>
          <w:lang w:val="en-US" w:eastAsia="zh-CN" w:bidi="ar-SA"/>
        </w:rPr>
        <w:t>五是</w:t>
      </w:r>
      <w:r>
        <w:rPr>
          <w:rFonts w:hint="eastAsia" w:ascii="仿宋_GB2312" w:hAnsi="仿宋_GB2312" w:eastAsia="仿宋_GB2312" w:cs="仿宋_GB2312"/>
          <w:b w:val="0"/>
          <w:bCs w:val="0"/>
          <w:snapToGrid w:val="0"/>
          <w:color w:val="000000"/>
          <w:kern w:val="0"/>
          <w:sz w:val="32"/>
          <w:szCs w:val="32"/>
          <w:lang w:val="en-US" w:eastAsia="zh-CN" w:bidi="ar-SA"/>
        </w:rPr>
        <w:t>尊重并执行生效行政复议决定，纠正违法、不当的行政行为。督促领导班子其他成员依法行政，不得插手具体案件处理。支持法院受理行政案件，尊重并执行法院生效裁判，对法检两院提出的协助调查在职能范围内积极配合。加强与法检两院等部门的信息共享，及时反馈有关信息。认真落实行政机关出庭应诉制度，坚决做到自觉维护和坚决捍卫司法权威。</w:t>
      </w:r>
      <w:r>
        <w:rPr>
          <w:rFonts w:hint="eastAsia" w:ascii="仿宋_GB2312" w:hAnsi="仿宋_GB2312" w:eastAsia="仿宋_GB2312" w:cs="仿宋_GB2312"/>
          <w:b/>
          <w:bCs/>
          <w:snapToGrid w:val="0"/>
          <w:color w:val="000000"/>
          <w:kern w:val="0"/>
          <w:sz w:val="32"/>
          <w:szCs w:val="32"/>
          <w:lang w:val="en-US" w:eastAsia="zh-CN" w:bidi="ar-SA"/>
        </w:rPr>
        <w:t>六是</w:t>
      </w:r>
      <w:r>
        <w:rPr>
          <w:rFonts w:hint="eastAsia" w:ascii="仿宋_GB2312" w:hAnsi="仿宋_GB2312" w:eastAsia="仿宋_GB2312" w:cs="仿宋_GB2312"/>
          <w:b w:val="0"/>
          <w:bCs w:val="0"/>
          <w:snapToGrid w:val="0"/>
          <w:color w:val="000000"/>
          <w:kern w:val="0"/>
          <w:sz w:val="32"/>
          <w:szCs w:val="32"/>
          <w:lang w:val="en-US" w:eastAsia="zh-CN" w:bidi="ar-SA"/>
        </w:rPr>
        <w:t>加强对本单位工作人员法治教育培训，将普法教育纳入每年全局</w:t>
      </w:r>
      <w:r>
        <w:rPr>
          <w:rFonts w:hint="eastAsia" w:ascii="仿宋_GB2312" w:hAnsi="仿宋_GB2312" w:eastAsia="仿宋_GB2312" w:cs="仿宋_GB2312"/>
          <w:b w:val="0"/>
          <w:bCs w:val="0"/>
          <w:snapToGrid w:val="0"/>
          <w:color w:val="000000"/>
          <w:kern w:val="0"/>
          <w:sz w:val="32"/>
          <w:szCs w:val="32"/>
          <w:lang w:val="en-US" w:eastAsia="zh-CN" w:bidi="ar-SA"/>
        </w:rPr>
        <w:fldChar w:fldCharType="begin"/>
      </w:r>
      <w:r>
        <w:rPr>
          <w:rFonts w:hint="eastAsia" w:ascii="仿宋_GB2312" w:hAnsi="仿宋_GB2312" w:eastAsia="仿宋_GB2312" w:cs="仿宋_GB2312"/>
          <w:b w:val="0"/>
          <w:bCs w:val="0"/>
          <w:snapToGrid w:val="0"/>
          <w:color w:val="000000"/>
          <w:kern w:val="0"/>
          <w:sz w:val="32"/>
          <w:szCs w:val="32"/>
          <w:lang w:val="en-US" w:eastAsia="zh-CN" w:bidi="ar-SA"/>
        </w:rPr>
        <w:instrText xml:space="preserve"> HYPERLINK "http://www.91wenmi.com/wenmi/zongjie/gongzuojihua/" \t "_blank" </w:instrText>
      </w:r>
      <w:r>
        <w:rPr>
          <w:rFonts w:hint="eastAsia" w:ascii="仿宋_GB2312" w:hAnsi="仿宋_GB2312" w:eastAsia="仿宋_GB2312" w:cs="仿宋_GB2312"/>
          <w:b w:val="0"/>
          <w:bCs w:val="0"/>
          <w:snapToGrid w:val="0"/>
          <w:color w:val="000000"/>
          <w:kern w:val="0"/>
          <w:sz w:val="32"/>
          <w:szCs w:val="32"/>
          <w:lang w:val="en-US" w:eastAsia="zh-CN" w:bidi="ar-SA"/>
        </w:rPr>
        <w:fldChar w:fldCharType="separate"/>
      </w:r>
      <w:r>
        <w:rPr>
          <w:rFonts w:hint="eastAsia" w:ascii="仿宋_GB2312" w:hAnsi="仿宋_GB2312" w:eastAsia="仿宋_GB2312" w:cs="仿宋_GB2312"/>
          <w:b w:val="0"/>
          <w:bCs w:val="0"/>
          <w:snapToGrid w:val="0"/>
          <w:color w:val="000000"/>
          <w:kern w:val="0"/>
          <w:sz w:val="32"/>
          <w:szCs w:val="32"/>
          <w:lang w:val="en-US" w:eastAsia="zh-CN" w:bidi="ar-SA"/>
        </w:rPr>
        <w:t>工作计划</w:t>
      </w:r>
      <w:r>
        <w:rPr>
          <w:rFonts w:hint="eastAsia" w:ascii="仿宋_GB2312" w:hAnsi="仿宋_GB2312" w:eastAsia="仿宋_GB2312" w:cs="仿宋_GB2312"/>
          <w:b w:val="0"/>
          <w:bCs w:val="0"/>
          <w:snapToGrid w:val="0"/>
          <w:color w:val="000000"/>
          <w:kern w:val="0"/>
          <w:sz w:val="32"/>
          <w:szCs w:val="32"/>
          <w:lang w:val="en-US" w:eastAsia="zh-CN" w:bidi="ar-SA"/>
        </w:rPr>
        <w:fldChar w:fldCharType="end"/>
      </w:r>
      <w:r>
        <w:rPr>
          <w:rFonts w:hint="eastAsia" w:ascii="仿宋_GB2312" w:hAnsi="仿宋_GB2312" w:eastAsia="仿宋_GB2312" w:cs="仿宋_GB2312"/>
          <w:b w:val="0"/>
          <w:bCs w:val="0"/>
          <w:snapToGrid w:val="0"/>
          <w:color w:val="000000"/>
          <w:kern w:val="0"/>
          <w:sz w:val="32"/>
          <w:szCs w:val="32"/>
          <w:lang w:val="en-US" w:eastAsia="zh-CN" w:bidi="ar-SA"/>
        </w:rPr>
        <w:t>，确保普法工作与日常行政检查工作一起部署、一并落实。</w:t>
      </w:r>
    </w:p>
    <w:p w14:paraId="78EF049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CESI黑体-GB2312" w:hAnsi="CESI黑体-GB2312" w:eastAsia="CESI黑体-GB2312" w:cs="CESI黑体-GB2312"/>
          <w:b w:val="0"/>
          <w:bCs/>
          <w:snapToGrid w:val="0"/>
          <w:color w:val="000000"/>
          <w:kern w:val="2"/>
          <w:sz w:val="32"/>
          <w:szCs w:val="32"/>
          <w:lang w:val="en-US" w:eastAsia="zh-CN" w:bidi="ar-SA"/>
        </w:rPr>
      </w:pPr>
      <w:r>
        <w:rPr>
          <w:rFonts w:hint="eastAsia" w:ascii="CESI黑体-GB2312" w:hAnsi="CESI黑体-GB2312" w:eastAsia="CESI黑体-GB2312" w:cs="CESI黑体-GB2312"/>
          <w:b w:val="0"/>
          <w:bCs/>
          <w:snapToGrid w:val="0"/>
          <w:color w:val="000000"/>
          <w:kern w:val="2"/>
          <w:sz w:val="32"/>
          <w:szCs w:val="32"/>
          <w:lang w:val="en-US" w:eastAsia="zh-CN" w:bidi="ar-SA"/>
        </w:rPr>
        <w:t>四、有关意见建议</w:t>
      </w:r>
    </w:p>
    <w:p w14:paraId="69DC6D90">
      <w:pPr>
        <w:keepNext w:val="0"/>
        <w:keepLines w:val="0"/>
        <w:pageBreakBefore w:val="0"/>
        <w:wordWrap/>
        <w:overflowPunct/>
        <w:topLinePunct w:val="0"/>
        <w:bidi w:val="0"/>
        <w:spacing w:line="560" w:lineRule="exact"/>
        <w:ind w:firstLine="640" w:firstLineChars="200"/>
        <w:jc w:val="left"/>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一是加强法治宣传教育，增强公民和干部的法律意识。通过法治讲座、法律培训等形式，在不同群体中有针对性地开展法治</w:t>
      </w:r>
      <w:bookmarkStart w:id="0" w:name="_GoBack"/>
      <w:bookmarkEnd w:id="0"/>
      <w:r>
        <w:rPr>
          <w:rFonts w:hint="eastAsia" w:ascii="仿宋_GB2312" w:hAnsi="仿宋_GB2312" w:eastAsia="仿宋_GB2312" w:cs="仿宋_GB2312"/>
          <w:b w:val="0"/>
          <w:bCs w:val="0"/>
          <w:snapToGrid w:val="0"/>
          <w:color w:val="000000"/>
          <w:kern w:val="0"/>
          <w:sz w:val="32"/>
          <w:szCs w:val="32"/>
          <w:lang w:val="en-US" w:eastAsia="zh-CN" w:bidi="ar-SA"/>
        </w:rPr>
        <w:t>宣传教育，加大普法工作力度，培养法律明白人。</w:t>
      </w:r>
    </w:p>
    <w:p w14:paraId="1FAF1B6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二是针对“职业打假人”恶意举报并要求赔偿奖励的行为，出台相关方案，遏制不断走高的投诉举报和复议频率，保护正常有序的市场消费环境。</w:t>
      </w:r>
    </w:p>
    <w:p w14:paraId="6F9D7BE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CESI黑体-GB2312" w:hAnsi="CESI黑体-GB2312" w:eastAsia="CESI黑体-GB2312" w:cs="CESI黑体-GB2312"/>
          <w:b w:val="0"/>
          <w:bCs/>
          <w:snapToGrid w:val="0"/>
          <w:color w:val="000000"/>
          <w:kern w:val="2"/>
          <w:sz w:val="32"/>
          <w:szCs w:val="32"/>
          <w:lang w:val="en-US" w:eastAsia="zh-CN" w:bidi="ar-SA"/>
        </w:rPr>
      </w:pPr>
      <w:r>
        <w:rPr>
          <w:rFonts w:hint="eastAsia" w:ascii="CESI黑体-GB2312" w:hAnsi="CESI黑体-GB2312" w:eastAsia="CESI黑体-GB2312" w:cs="CESI黑体-GB2312"/>
          <w:b w:val="0"/>
          <w:bCs/>
          <w:snapToGrid w:val="0"/>
          <w:color w:val="000000"/>
          <w:kern w:val="2"/>
          <w:sz w:val="32"/>
          <w:szCs w:val="32"/>
          <w:lang w:val="en-US" w:eastAsia="zh-CN" w:bidi="ar-SA"/>
        </w:rPr>
        <w:t>五、2024年工作安排</w:t>
      </w:r>
    </w:p>
    <w:p w14:paraId="35335C55">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楷体_GB2312" w:hAnsi="楷体_GB2312" w:eastAsia="楷体_GB2312" w:cs="楷体_GB2312"/>
          <w:b/>
          <w:bCs w:val="0"/>
          <w:snapToGrid w:val="0"/>
          <w:color w:val="000000"/>
          <w:kern w:val="2"/>
          <w:sz w:val="32"/>
          <w:szCs w:val="32"/>
          <w:lang w:val="en-US" w:eastAsia="zh-CN" w:bidi="ar-SA"/>
        </w:rPr>
      </w:pPr>
      <w:r>
        <w:rPr>
          <w:rFonts w:hint="default" w:ascii="楷体_GB2312" w:hAnsi="楷体_GB2312" w:eastAsia="楷体_GB2312" w:cs="楷体_GB2312"/>
          <w:b/>
          <w:bCs w:val="0"/>
          <w:snapToGrid w:val="0"/>
          <w:color w:val="000000"/>
          <w:kern w:val="2"/>
          <w:sz w:val="32"/>
          <w:szCs w:val="32"/>
          <w:lang w:val="en-US" w:eastAsia="zh-CN" w:bidi="ar-SA"/>
        </w:rPr>
        <w:t>（一）</w:t>
      </w:r>
      <w:r>
        <w:rPr>
          <w:rFonts w:hint="eastAsia" w:ascii="楷体_GB2312" w:hAnsi="楷体_GB2312" w:eastAsia="楷体_GB2312" w:cs="楷体_GB2312"/>
          <w:b/>
          <w:bCs w:val="0"/>
          <w:snapToGrid w:val="0"/>
          <w:color w:val="000000"/>
          <w:kern w:val="2"/>
          <w:sz w:val="32"/>
          <w:szCs w:val="32"/>
          <w:lang w:val="en-US" w:eastAsia="zh-CN" w:bidi="ar-SA"/>
        </w:rPr>
        <w:t>持续推进法治宣传教育</w:t>
      </w:r>
    </w:p>
    <w:p w14:paraId="5B76424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sz w:val="32"/>
          <w:szCs w:val="32"/>
          <w:lang w:val="en-US" w:eastAsia="zh-CN"/>
        </w:rPr>
        <w:t>在局内多开展交流培训会，同时组织执法人员参与省市培训班，提升行政执法人员的业务能力，降低行政复议率，提升工作质效。</w:t>
      </w:r>
    </w:p>
    <w:p w14:paraId="54EC973D">
      <w:pPr>
        <w:pStyle w:val="4"/>
        <w:keepNext w:val="0"/>
        <w:keepLines w:val="0"/>
        <w:pageBreakBefore w:val="0"/>
        <w:widowControl/>
        <w:kinsoku/>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楷体_GB2312" w:hAnsi="楷体_GB2312" w:eastAsia="楷体_GB2312" w:cs="楷体_GB2312"/>
          <w:b/>
          <w:bCs w:val="0"/>
          <w:snapToGrid w:val="0"/>
          <w:color w:val="000000"/>
          <w:kern w:val="2"/>
          <w:sz w:val="32"/>
          <w:szCs w:val="32"/>
          <w:lang w:val="en-US" w:eastAsia="zh-CN" w:bidi="ar-SA"/>
        </w:rPr>
      </w:pPr>
      <w:r>
        <w:rPr>
          <w:rFonts w:hint="eastAsia" w:ascii="楷体_GB2312" w:hAnsi="楷体_GB2312" w:eastAsia="楷体_GB2312" w:cs="楷体_GB2312"/>
          <w:b/>
          <w:bCs w:val="0"/>
          <w:snapToGrid w:val="0"/>
          <w:color w:val="000000"/>
          <w:kern w:val="2"/>
          <w:sz w:val="32"/>
          <w:szCs w:val="32"/>
          <w:lang w:val="en-US" w:eastAsia="zh-CN" w:bidi="ar-SA"/>
        </w:rPr>
        <w:t>（二）探索实施“一业一证”改革</w:t>
      </w:r>
    </w:p>
    <w:p w14:paraId="3464A21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依托全省“一照通办”平台改革，大力开展电子营业执照和电子许可证联展联用，推动全省电子证照在各领域应用。</w:t>
      </w:r>
    </w:p>
    <w:p w14:paraId="6161AFA5">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default" w:ascii="楷体" w:hAnsi="楷体" w:eastAsia="楷体" w:cs="楷体"/>
          <w:b/>
          <w:bCs w:val="0"/>
          <w:snapToGrid w:val="0"/>
          <w:color w:val="000000"/>
          <w:kern w:val="2"/>
          <w:sz w:val="32"/>
          <w:szCs w:val="32"/>
          <w:lang w:val="en-US" w:eastAsia="zh-CN" w:bidi="ar-SA"/>
        </w:rPr>
      </w:pPr>
      <w:r>
        <w:rPr>
          <w:rFonts w:hint="eastAsia" w:ascii="楷体_GB2312" w:hAnsi="楷体_GB2312" w:eastAsia="楷体_GB2312" w:cs="楷体_GB2312"/>
          <w:b/>
          <w:bCs w:val="0"/>
          <w:snapToGrid w:val="0"/>
          <w:color w:val="000000"/>
          <w:kern w:val="2"/>
          <w:sz w:val="32"/>
          <w:szCs w:val="32"/>
          <w:lang w:val="en-US" w:eastAsia="zh-CN" w:bidi="ar-SA"/>
        </w:rPr>
        <w:t>（三）优化办理流程</w:t>
      </w:r>
    </w:p>
    <w:p w14:paraId="3AB98F6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lang w:val="en-US" w:eastAsia="zh-CN"/>
        </w:rPr>
      </w:pPr>
      <w:r>
        <w:rPr>
          <w:rFonts w:hint="eastAsia" w:ascii="仿宋_GB2312" w:hAnsi="仿宋_GB2312" w:eastAsia="仿宋_GB2312" w:cs="仿宋_GB2312"/>
          <w:b w:val="0"/>
          <w:bCs w:val="0"/>
          <w:snapToGrid w:val="0"/>
          <w:color w:val="000000"/>
          <w:kern w:val="0"/>
          <w:sz w:val="32"/>
          <w:szCs w:val="32"/>
          <w:lang w:val="en-US" w:eastAsia="zh-CN" w:bidi="ar-SA"/>
        </w:rPr>
        <w:t>一是不断完善内资企业设立、变更、注销登记服务一体化办理流程。二是积极配合全市推进“大型企业分支机构、连锁门店营业执照集中申办”改革，实现跨层级、跨地区、集中统一办理，破解多个登记机关“分别审批”“标准不一”等问题。三是</w:t>
      </w:r>
      <w:r>
        <w:rPr>
          <w:rFonts w:hint="default" w:ascii="仿宋_GB2312" w:hAnsi="仿宋_GB2312" w:eastAsia="仿宋_GB2312" w:cs="仿宋_GB2312"/>
          <w:b w:val="0"/>
          <w:bCs w:val="0"/>
          <w:snapToGrid w:val="0"/>
          <w:color w:val="000000"/>
          <w:kern w:val="0"/>
          <w:sz w:val="32"/>
          <w:szCs w:val="32"/>
          <w:lang w:val="en-US" w:eastAsia="zh-CN" w:bidi="ar-SA"/>
        </w:rPr>
        <w:t>便利企业跨区域经营和迁移。落实</w:t>
      </w:r>
      <w:r>
        <w:rPr>
          <w:rFonts w:hint="eastAsia" w:ascii="仿宋_GB2312" w:hAnsi="仿宋_GB2312" w:eastAsia="仿宋_GB2312" w:cs="仿宋_GB2312"/>
          <w:b w:val="0"/>
          <w:bCs w:val="0"/>
          <w:snapToGrid w:val="0"/>
          <w:color w:val="000000"/>
          <w:kern w:val="0"/>
          <w:sz w:val="32"/>
          <w:szCs w:val="32"/>
          <w:lang w:val="en-US" w:eastAsia="zh-CN" w:bidi="ar-SA"/>
        </w:rPr>
        <w:t>全省统一的</w:t>
      </w:r>
      <w:r>
        <w:rPr>
          <w:rFonts w:hint="default" w:ascii="仿宋_GB2312" w:hAnsi="仿宋_GB2312" w:eastAsia="仿宋_GB2312" w:cs="仿宋_GB2312"/>
          <w:b w:val="0"/>
          <w:bCs w:val="0"/>
          <w:snapToGrid w:val="0"/>
          <w:color w:val="000000"/>
          <w:kern w:val="0"/>
          <w:sz w:val="32"/>
          <w:szCs w:val="32"/>
          <w:lang w:val="en-US" w:eastAsia="zh-CN" w:bidi="ar-SA"/>
        </w:rPr>
        <w:t>企业迁移档案移交规范流程，简化企业跨区域迁移涉税涉费等事项办理程序</w:t>
      </w:r>
      <w:r>
        <w:rPr>
          <w:rFonts w:hint="eastAsia" w:ascii="仿宋_GB2312" w:hAnsi="仿宋_GB2312" w:eastAsia="仿宋_GB2312" w:cs="仿宋_GB2312"/>
          <w:b w:val="0"/>
          <w:bCs w:val="0"/>
          <w:snapToGrid w:val="0"/>
          <w:color w:val="000000"/>
          <w:kern w:val="0"/>
          <w:sz w:val="32"/>
          <w:szCs w:val="32"/>
          <w:lang w:val="en-US" w:eastAsia="zh-CN" w:bidi="ar-SA"/>
        </w:rPr>
        <w:t>，推行市内企业迁移全程不见面办理。</w:t>
      </w:r>
    </w:p>
    <w:p w14:paraId="6F1317B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_GB2312" w:hAnsi="仿宋_GB2312" w:eastAsia="仿宋_GB2312" w:cs="仿宋_GB2312"/>
          <w:b w:val="0"/>
          <w:bCs w:val="0"/>
          <w:snapToGrid w:val="0"/>
          <w:color w:val="000000"/>
          <w:kern w:val="0"/>
          <w:sz w:val="32"/>
          <w:szCs w:val="32"/>
          <w:lang w:val="en-US" w:eastAsia="zh-CN" w:bidi="ar-SA"/>
        </w:rPr>
      </w:pPr>
      <w:r>
        <w:rPr>
          <w:rFonts w:hint="default" w:ascii="仿宋_GB2312" w:hAnsi="仿宋_GB2312" w:eastAsia="仿宋_GB2312" w:cs="仿宋_GB2312"/>
          <w:b w:val="0"/>
          <w:bCs w:val="0"/>
          <w:snapToGrid w:val="0"/>
          <w:color w:val="000000"/>
          <w:kern w:val="0"/>
          <w:sz w:val="32"/>
          <w:szCs w:val="32"/>
          <w:lang w:val="en-US" w:eastAsia="zh-CN" w:bidi="ar-SA"/>
        </w:rPr>
        <w:t>专此报告。</w:t>
      </w:r>
    </w:p>
    <w:p w14:paraId="10DCD975">
      <w:pPr>
        <w:pStyle w:val="2"/>
        <w:jc w:val="left"/>
        <w:rPr>
          <w:rFonts w:hint="default" w:ascii="仿宋_GB2312" w:hAnsi="仿宋_GB2312" w:eastAsia="仿宋_GB2312" w:cs="仿宋_GB2312"/>
          <w:b w:val="0"/>
          <w:bCs w:val="0"/>
          <w:snapToGrid w:val="0"/>
          <w:color w:val="000000"/>
          <w:kern w:val="0"/>
          <w:sz w:val="32"/>
          <w:szCs w:val="32"/>
          <w:lang w:val="en-US" w:eastAsia="zh-CN" w:bidi="ar-SA"/>
        </w:rPr>
      </w:pPr>
    </w:p>
    <w:p w14:paraId="744D26BF">
      <w:pPr>
        <w:pStyle w:val="2"/>
        <w:jc w:val="left"/>
        <w:rPr>
          <w:rFonts w:hint="default" w:ascii="仿宋_GB2312" w:hAnsi="仿宋_GB2312" w:eastAsia="仿宋_GB2312" w:cs="仿宋_GB2312"/>
          <w:b w:val="0"/>
          <w:bCs w:val="0"/>
          <w:snapToGrid w:val="0"/>
          <w:color w:val="000000"/>
          <w:kern w:val="0"/>
          <w:sz w:val="32"/>
          <w:szCs w:val="32"/>
          <w:lang w:val="en-US" w:eastAsia="zh-CN" w:bidi="ar-SA"/>
        </w:rPr>
      </w:pPr>
    </w:p>
    <w:p w14:paraId="4DCAF4A8">
      <w:pPr>
        <w:pStyle w:val="2"/>
        <w:jc w:val="left"/>
        <w:rPr>
          <w:rFonts w:hint="default" w:ascii="仿宋_GB2312" w:hAnsi="仿宋_GB2312" w:eastAsia="仿宋_GB2312" w:cs="仿宋_GB2312"/>
          <w:b w:val="0"/>
          <w:bCs w:val="0"/>
          <w:snapToGrid w:val="0"/>
          <w:color w:val="000000"/>
          <w:kern w:val="0"/>
          <w:sz w:val="32"/>
          <w:szCs w:val="32"/>
          <w:lang w:val="en-US" w:eastAsia="zh-CN" w:bidi="ar-SA"/>
        </w:rPr>
      </w:pPr>
    </w:p>
    <w:p w14:paraId="4E8BC4C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仿宋_GB2312" w:hAnsi="仿宋_GB2312" w:eastAsia="仿宋_GB2312" w:cs="仿宋_GB2312"/>
          <w:b w:val="0"/>
          <w:bCs w:val="0"/>
          <w:snapToGrid w:val="0"/>
          <w:color w:val="000000"/>
          <w:kern w:val="0"/>
          <w:sz w:val="32"/>
          <w:szCs w:val="32"/>
          <w:lang w:val="en-US" w:eastAsia="zh-CN" w:bidi="ar-SA"/>
        </w:rPr>
      </w:pPr>
      <w:r>
        <w:rPr>
          <w:rFonts w:hint="default" w:ascii="仿宋_GB2312" w:hAnsi="仿宋_GB2312" w:eastAsia="仿宋_GB2312" w:cs="仿宋_GB2312"/>
          <w:b w:val="0"/>
          <w:bCs w:val="0"/>
          <w:snapToGrid w:val="0"/>
          <w:color w:val="000000"/>
          <w:kern w:val="0"/>
          <w:sz w:val="32"/>
          <w:szCs w:val="32"/>
          <w:lang w:val="en-US" w:eastAsia="zh-CN" w:bidi="ar-SA"/>
        </w:rPr>
        <w:t xml:space="preserve">  </w:t>
      </w:r>
      <w:r>
        <w:rPr>
          <w:rFonts w:hint="eastAsia" w:ascii="仿宋_GB2312" w:hAnsi="仿宋_GB2312" w:eastAsia="仿宋_GB2312" w:cs="仿宋_GB2312"/>
          <w:b w:val="0"/>
          <w:bCs w:val="0"/>
          <w:snapToGrid w:val="0"/>
          <w:color w:val="000000"/>
          <w:kern w:val="0"/>
          <w:sz w:val="32"/>
          <w:szCs w:val="32"/>
          <w:lang w:val="en-US" w:eastAsia="zh-CN" w:bidi="ar-SA"/>
        </w:rPr>
        <w:t>　　　　             东湖区市场监督管理局</w:t>
      </w:r>
      <w:r>
        <w:rPr>
          <w:rFonts w:hint="default" w:ascii="仿宋_GB2312" w:hAnsi="仿宋_GB2312" w:eastAsia="仿宋_GB2312" w:cs="仿宋_GB2312"/>
          <w:b w:val="0"/>
          <w:bCs w:val="0"/>
          <w:snapToGrid w:val="0"/>
          <w:color w:val="000000"/>
          <w:kern w:val="0"/>
          <w:sz w:val="32"/>
          <w:szCs w:val="32"/>
          <w:lang w:val="en-US" w:eastAsia="zh-CN" w:bidi="ar-SA"/>
        </w:rPr>
        <w:t xml:space="preserve">    </w:t>
      </w:r>
    </w:p>
    <w:p w14:paraId="4B0BF3D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　　　　　　　　　　　　　</w:t>
      </w:r>
      <w:r>
        <w:rPr>
          <w:rFonts w:hint="default" w:ascii="仿宋_GB2312" w:hAnsi="仿宋_GB2312" w:eastAsia="仿宋_GB2312" w:cs="仿宋_GB2312"/>
          <w:b w:val="0"/>
          <w:bCs w:val="0"/>
          <w:snapToGrid w:val="0"/>
          <w:color w:val="000000"/>
          <w:kern w:val="0"/>
          <w:sz w:val="32"/>
          <w:szCs w:val="32"/>
          <w:lang w:val="en-US" w:eastAsia="zh-CN" w:bidi="ar-SA"/>
        </w:rPr>
        <w:t>2023年1</w:t>
      </w:r>
      <w:r>
        <w:rPr>
          <w:rFonts w:hint="eastAsia" w:ascii="仿宋_GB2312" w:hAnsi="仿宋_GB2312" w:eastAsia="仿宋_GB2312" w:cs="仿宋_GB2312"/>
          <w:b w:val="0"/>
          <w:bCs w:val="0"/>
          <w:snapToGrid w:val="0"/>
          <w:color w:val="000000"/>
          <w:kern w:val="0"/>
          <w:sz w:val="32"/>
          <w:szCs w:val="32"/>
          <w:lang w:val="en-US" w:eastAsia="zh-CN" w:bidi="ar-SA"/>
        </w:rPr>
        <w:t>2</w:t>
      </w:r>
      <w:r>
        <w:rPr>
          <w:rFonts w:hint="default" w:ascii="仿宋_GB2312" w:hAnsi="仿宋_GB2312" w:eastAsia="仿宋_GB2312" w:cs="仿宋_GB2312"/>
          <w:b w:val="0"/>
          <w:bCs w:val="0"/>
          <w:snapToGrid w:val="0"/>
          <w:color w:val="000000"/>
          <w:kern w:val="0"/>
          <w:sz w:val="32"/>
          <w:szCs w:val="32"/>
          <w:lang w:val="en-US" w:eastAsia="zh-CN" w:bidi="ar-SA"/>
        </w:rPr>
        <w:t>月</w:t>
      </w:r>
      <w:r>
        <w:rPr>
          <w:rFonts w:hint="eastAsia" w:ascii="仿宋_GB2312" w:hAnsi="仿宋_GB2312" w:eastAsia="仿宋_GB2312" w:cs="仿宋_GB2312"/>
          <w:b w:val="0"/>
          <w:bCs w:val="0"/>
          <w:snapToGrid w:val="0"/>
          <w:color w:val="000000"/>
          <w:kern w:val="0"/>
          <w:sz w:val="32"/>
          <w:szCs w:val="32"/>
          <w:lang w:val="en-US" w:eastAsia="zh-CN" w:bidi="ar-SA"/>
        </w:rPr>
        <w:t>22</w:t>
      </w:r>
      <w:r>
        <w:rPr>
          <w:rFonts w:hint="default" w:ascii="仿宋_GB2312" w:hAnsi="仿宋_GB2312" w:eastAsia="仿宋_GB2312" w:cs="仿宋_GB2312"/>
          <w:b w:val="0"/>
          <w:bCs w:val="0"/>
          <w:snapToGrid w:val="0"/>
          <w:color w:val="000000"/>
          <w:kern w:val="0"/>
          <w:sz w:val="32"/>
          <w:szCs w:val="32"/>
          <w:lang w:val="en-US" w:eastAsia="zh-CN" w:bidi="ar-SA"/>
        </w:rPr>
        <w:t xml:space="preserve">日  </w:t>
      </w:r>
    </w:p>
    <w:p w14:paraId="1265BA7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p>
    <w:sectPr>
      <w:footerReference r:id="rId5" w:type="default"/>
      <w:pgSz w:w="11906" w:h="16839"/>
      <w:pgMar w:top="1431" w:right="1468" w:bottom="1113" w:left="1473" w:header="0" w:footer="848"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ESI楷体-GB13000">
    <w:panose1 w:val="02000500000000000000"/>
    <w:charset w:val="86"/>
    <w:family w:val="auto"/>
    <w:pitch w:val="default"/>
    <w:sig w:usb0="800002BF" w:usb1="38CF7CF8" w:usb2="00000016" w:usb3="00000000" w:csb0="0004000F" w:csb1="00000000"/>
  </w:font>
  <w:font w:name="楷体">
    <w:altName w:val="方正楷体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A3F3A">
    <w:pPr>
      <w:spacing w:line="189" w:lineRule="auto"/>
      <w:rPr>
        <w:rFonts w:ascii="Arial" w:hAnsi="Arial" w:eastAsia="Arial" w:cs="Arial"/>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5305EA">
                          <w:pPr>
                            <w:pStyle w:val="6"/>
                          </w:pPr>
                          <w: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5305EA">
                    <w:pPr>
                      <w:pStyle w:val="6"/>
                    </w:pPr>
                    <w: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hMDlmMTFhZTQ0MWZmYzBlOWUxOTFhMTc2ZTQxZDMifQ=="/>
  </w:docVars>
  <w:rsids>
    <w:rsidRoot w:val="481649F8"/>
    <w:rsid w:val="00E30EF2"/>
    <w:rsid w:val="029F4780"/>
    <w:rsid w:val="033F494F"/>
    <w:rsid w:val="10E25E06"/>
    <w:rsid w:val="134A0607"/>
    <w:rsid w:val="158D4E17"/>
    <w:rsid w:val="198A0A74"/>
    <w:rsid w:val="1A204119"/>
    <w:rsid w:val="1B5D7A9A"/>
    <w:rsid w:val="21C22C53"/>
    <w:rsid w:val="2DBB5FB0"/>
    <w:rsid w:val="320A2320"/>
    <w:rsid w:val="320D673D"/>
    <w:rsid w:val="338500C7"/>
    <w:rsid w:val="34493546"/>
    <w:rsid w:val="345521AA"/>
    <w:rsid w:val="368D53CF"/>
    <w:rsid w:val="3AD417CA"/>
    <w:rsid w:val="43236A0A"/>
    <w:rsid w:val="446400CC"/>
    <w:rsid w:val="44E7677F"/>
    <w:rsid w:val="481649F8"/>
    <w:rsid w:val="487A1C66"/>
    <w:rsid w:val="4E1F471A"/>
    <w:rsid w:val="5B3B10F2"/>
    <w:rsid w:val="5E4D0988"/>
    <w:rsid w:val="60F24684"/>
    <w:rsid w:val="624B003E"/>
    <w:rsid w:val="680E0820"/>
    <w:rsid w:val="6B6F304C"/>
    <w:rsid w:val="6F5F5016"/>
    <w:rsid w:val="72E4295B"/>
    <w:rsid w:val="73A02274"/>
    <w:rsid w:val="7776679A"/>
    <w:rsid w:val="7D761851"/>
    <w:rsid w:val="FDFF8AAD"/>
    <w:rsid w:val="FDFFB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样式 行距: 固定值 28.9 磅"/>
    <w:basedOn w:val="1"/>
    <w:qFormat/>
    <w:uiPriority w:val="99"/>
    <w:pPr>
      <w:spacing w:line="578" w:lineRule="exact"/>
    </w:pPr>
    <w:rPr>
      <w:rFonts w:ascii="Times New Roman" w:hAnsi="Times New Roman"/>
      <w:sz w:val="21"/>
    </w:rPr>
  </w:style>
  <w:style w:type="paragraph" w:styleId="3">
    <w:name w:val="index 5"/>
    <w:basedOn w:val="1"/>
    <w:next w:val="1"/>
    <w:qFormat/>
    <w:uiPriority w:val="0"/>
    <w:pPr>
      <w:widowControl w:val="0"/>
      <w:spacing w:line="560" w:lineRule="exact"/>
      <w:ind w:left="1678"/>
      <w:jc w:val="both"/>
    </w:pPr>
    <w:rPr>
      <w:rFonts w:ascii="仿宋_GB2312" w:hAnsi="仿宋_GB2312" w:eastAsia="宋体" w:cs="Times New Roman"/>
      <w:kern w:val="2"/>
      <w:sz w:val="21"/>
      <w:szCs w:val="24"/>
      <w:lang w:val="en-US" w:eastAsia="zh-CN" w:bidi="ar-SA"/>
    </w:r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Plain Text"/>
    <w:basedOn w:val="1"/>
    <w:qFormat/>
    <w:uiPriority w:val="0"/>
    <w:pPr>
      <w:spacing w:line="576" w:lineRule="exact"/>
    </w:pPr>
    <w:rPr>
      <w:rFonts w:ascii="宋体" w:hAnsi="Courier New" w:eastAsia="Times New Roman" w:cs="Times New Roman"/>
      <w:kern w:val="0"/>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41</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2023-11-20T17:45:00Z</dcterms:created>
  <dc:creator>用户791118295</dc:creator>
  <cp:lastModifiedBy>在吗借我一亿</cp:lastModifiedBy>
  <dcterms:modified xsi:type="dcterms:W3CDTF">2025-12-25T14:50:54Z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4A5FE4032FBB425B9880C36E4B830566_11</vt:lpwstr>
  </property>
</Properties>
</file>