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1C3E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南昌市东湖区市场监督管理局</w:t>
      </w:r>
    </w:p>
    <w:p w14:paraId="1484AE8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2024年工作总结和2025年工作计划</w:t>
      </w:r>
    </w:p>
    <w:p w14:paraId="202B0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rPr>
      </w:pPr>
    </w:p>
    <w:p w14:paraId="410BAA8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南昌市东湖区</w:t>
      </w:r>
      <w:r>
        <w:rPr>
          <w:rFonts w:hint="eastAsia" w:ascii="仿宋_GB2312" w:hAnsi="仿宋_GB2312" w:eastAsia="仿宋_GB2312" w:cs="仿宋_GB2312"/>
          <w:sz w:val="32"/>
          <w:szCs w:val="32"/>
        </w:rPr>
        <w:t>市场</w:t>
      </w:r>
      <w:r>
        <w:rPr>
          <w:rFonts w:hint="eastAsia" w:ascii="仿宋_GB2312" w:hAnsi="仿宋_GB2312" w:eastAsia="仿宋_GB2312" w:cs="仿宋_GB2312"/>
          <w:sz w:val="32"/>
          <w:szCs w:val="32"/>
          <w:lang w:eastAsia="zh-CN"/>
        </w:rPr>
        <w:t>监督管理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highlight w:val="none"/>
        </w:rPr>
        <w:t>坚持</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以习近平新时代中国特色社会主义思想为指导，认真</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贯彻</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习近平</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总书记考察江西重要讲话精神，严格落实</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中央、省、市、</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区</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委</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和各级市场监管部门的决策部署，以行风建设</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、集中整治市场监管领域群众身边不正之风和腐败问题</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为抓手，结合市场监管主责</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主业，积极主动服务企业和群众，抓实抓好营商环境提升、助企服务提质、监管效能提速、平安建设提级、民生守护提效、作风建设提标，</w:t>
      </w:r>
      <w:r>
        <w:rPr>
          <w:rFonts w:hint="eastAsia" w:ascii="仿宋_GB2312" w:hAnsi="仿宋_GB2312" w:eastAsia="仿宋_GB2312" w:cs="仿宋_GB2312"/>
          <w:i w:val="0"/>
          <w:iCs w:val="0"/>
          <w:caps w:val="0"/>
          <w:color w:val="000000" w:themeColor="text1"/>
          <w:spacing w:val="0"/>
          <w:sz w:val="32"/>
          <w:szCs w:val="32"/>
          <w:highlight w:val="none"/>
          <w:shd w:val="clear" w:fill="FFFFFF"/>
          <w:lang w:val="en-US" w:eastAsia="zh-CN"/>
          <w14:textFill>
            <w14:solidFill>
              <w14:schemeClr w14:val="tx1"/>
            </w14:solidFill>
          </w14:textFill>
        </w:rPr>
        <w:t>不断</w:t>
      </w:r>
      <w:r>
        <w:rPr>
          <w:rFonts w:hint="eastAsia" w:ascii="仿宋_GB2312" w:hAnsi="仿宋_GB2312" w:eastAsia="仿宋_GB2312" w:cs="仿宋_GB2312"/>
          <w:i w:val="0"/>
          <w:iCs w:val="0"/>
          <w:caps w:val="0"/>
          <w:color w:val="000000" w:themeColor="text1"/>
          <w:spacing w:val="0"/>
          <w:sz w:val="32"/>
          <w:szCs w:val="32"/>
          <w:highlight w:val="none"/>
          <w:shd w:val="clear" w:fill="FFFFFF"/>
          <w:lang w:eastAsia="zh-CN"/>
          <w14:textFill>
            <w14:solidFill>
              <w14:schemeClr w14:val="tx1"/>
            </w14:solidFill>
          </w14:textFill>
        </w:rPr>
        <w:t>加快</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市场监管现代化水平</w:t>
      </w:r>
      <w:r>
        <w:rPr>
          <w:rFonts w:hint="eastAsia" w:ascii="仿宋_GB2312" w:hAnsi="仿宋_GB2312" w:eastAsia="仿宋_GB2312" w:cs="仿宋_GB2312"/>
          <w:i w:val="0"/>
          <w:iCs w:val="0"/>
          <w:caps w:val="0"/>
          <w:color w:val="000000" w:themeColor="text1"/>
          <w:spacing w:val="0"/>
          <w:sz w:val="32"/>
          <w:szCs w:val="32"/>
          <w:highlight w:val="none"/>
          <w:shd w:val="clear" w:fill="FFFFFF"/>
          <w:lang w:val="en-US" w:eastAsia="zh-CN"/>
          <w14:textFill>
            <w14:solidFill>
              <w14:schemeClr w14:val="tx1"/>
            </w14:solidFill>
          </w14:textFill>
        </w:rPr>
        <w:t>建设</w:t>
      </w:r>
      <w:r>
        <w:rPr>
          <w:rFonts w:hint="eastAsia" w:ascii="仿宋_GB2312" w:hAnsi="仿宋_GB2312" w:eastAsia="仿宋_GB2312" w:cs="仿宋_GB2312"/>
          <w:i w:val="0"/>
          <w:iCs w:val="0"/>
          <w:caps w:val="0"/>
          <w:color w:val="000000" w:themeColor="text1"/>
          <w:spacing w:val="0"/>
          <w:sz w:val="32"/>
          <w:szCs w:val="32"/>
          <w:highlight w:val="none"/>
          <w:shd w:val="clear" w:fill="FFFFFF"/>
          <w:lang w:eastAsia="zh-CN"/>
          <w14:textFill>
            <w14:solidFill>
              <w14:schemeClr w14:val="tx1"/>
            </w14:solidFill>
          </w14:textFill>
        </w:rPr>
        <w:t>，扎实推进</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市场监管</w:t>
      </w:r>
      <w:r>
        <w:rPr>
          <w:rFonts w:hint="eastAsia" w:ascii="仿宋_GB2312" w:hAnsi="仿宋_GB2312" w:eastAsia="仿宋_GB2312" w:cs="仿宋_GB2312"/>
          <w:i w:val="0"/>
          <w:iCs w:val="0"/>
          <w:caps w:val="0"/>
          <w:color w:val="000000" w:themeColor="text1"/>
          <w:spacing w:val="0"/>
          <w:sz w:val="32"/>
          <w:szCs w:val="32"/>
          <w:highlight w:val="none"/>
          <w:shd w:val="clear" w:fill="FFFFFF"/>
          <w:lang w:eastAsia="zh-CN"/>
          <w14:textFill>
            <w14:solidFill>
              <w14:schemeClr w14:val="tx1"/>
            </w14:solidFill>
          </w14:textFill>
        </w:rPr>
        <w:t>各项工作</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，为</w:t>
      </w:r>
      <w:r>
        <w:rPr>
          <w:rFonts w:hint="eastAsia" w:ascii="仿宋_GB2312" w:hAnsi="仿宋_GB2312" w:eastAsia="仿宋_GB2312" w:cs="仿宋_GB2312"/>
          <w:i w:val="0"/>
          <w:iCs w:val="0"/>
          <w:caps w:val="0"/>
          <w:color w:val="000000" w:themeColor="text1"/>
          <w:spacing w:val="0"/>
          <w:sz w:val="32"/>
          <w:szCs w:val="32"/>
          <w:highlight w:val="none"/>
          <w:shd w:val="clear" w:fill="FFFFFF"/>
          <w:lang w:eastAsia="zh-CN"/>
          <w14:textFill>
            <w14:solidFill>
              <w14:schemeClr w14:val="tx1"/>
            </w14:solidFill>
          </w14:textFill>
        </w:rPr>
        <w:t>东湖</w:t>
      </w:r>
      <w:r>
        <w:rPr>
          <w:rFonts w:hint="eastAsia" w:ascii="仿宋_GB2312" w:hAnsi="仿宋_GB2312" w:eastAsia="仿宋_GB2312" w:cs="仿宋_GB2312"/>
          <w:i w:val="0"/>
          <w:iCs w:val="0"/>
          <w:caps w:val="0"/>
          <w:color w:val="000000" w:themeColor="text1"/>
          <w:spacing w:val="0"/>
          <w:sz w:val="32"/>
          <w:szCs w:val="32"/>
          <w:highlight w:val="none"/>
          <w:shd w:val="clear" w:fill="FFFFFF"/>
          <w14:textFill>
            <w14:solidFill>
              <w14:schemeClr w14:val="tx1"/>
            </w14:solidFill>
          </w14:textFill>
        </w:rPr>
        <w:t>经济高质量发展提供有力支撑</w:t>
      </w:r>
      <w:r>
        <w:rPr>
          <w:rFonts w:hint="eastAsia" w:ascii="仿宋_GB2312" w:hAnsi="仿宋_GB2312" w:eastAsia="仿宋_GB2312" w:cs="仿宋_GB2312"/>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eastAsia" w:ascii="仿宋_GB2312" w:hAnsi="仿宋_GB2312" w:eastAsia="仿宋_GB2312" w:cs="仿宋_GB2312"/>
          <w:sz w:val="32"/>
          <w:szCs w:val="32"/>
          <w:highlight w:val="none"/>
        </w:rPr>
        <w:t>现将主要工作情况汇报如下:</w:t>
      </w:r>
    </w:p>
    <w:p w14:paraId="153E367B">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lang w:val="en-US" w:eastAsia="zh-CN"/>
        </w:rPr>
        <w:t>2024</w:t>
      </w:r>
      <w:r>
        <w:rPr>
          <w:rFonts w:hint="eastAsia" w:ascii="黑体" w:hAnsi="黑体" w:eastAsia="黑体" w:cs="黑体"/>
          <w:sz w:val="32"/>
          <w:szCs w:val="32"/>
          <w:highlight w:val="none"/>
          <w:lang w:eastAsia="zh-CN"/>
        </w:rPr>
        <w:t>年工作总结</w:t>
      </w:r>
    </w:p>
    <w:p w14:paraId="3CB86CE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643"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（一）守底线，保安全，全面提升监管水平</w:t>
      </w:r>
    </w:p>
    <w:p w14:paraId="3850946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1.守住食品安全底线</w:t>
      </w:r>
    </w:p>
    <w:p w14:paraId="073EC4FD">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w:t>
      </w: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积极推进校园食品安全排查整治深化行动</w:t>
      </w:r>
      <w:r>
        <w:rPr>
          <w:rFonts w:hint="eastAsia"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坚决贯彻落实习近平总书记食品安全“四个最严”重要指示精神，督促各校园食堂依照清单落实自查自纠，对辖区内全部学校、托幼机构食堂持续开展“回头看”监督检查,压紧压实主体责任，共出动执法人员420人次，检查学校幼儿园食堂210家次，发现问题253个，并建立了问题责任整改清单，逐一建帐销号。以复用餐饮具为重点，对全区73家校园食堂进行了餐具快速检测和食品原料监督抽检，其中开展餐具快检146批次，检出2家单位餐具阴离子洗涤剂超标，并立即按程序启动了快法衔接，根据具体情况采取了相应措施。今年以来，组织全区73家开办了食堂的学校、托幼机构食品安全管理人员共计116人参加了省局统一组织的监督抽考，最终全部合格；组织各学校幼儿园食品安全副校长、安全总监、安全员、分局负责人共计193人进行了校园食品安全管理培训，通过学习有关法律法规、上级文件和《食物中毒预防处置》、《校园食品安全舆情应对》等内容，进一步增强了各学校幼儿园管理人员的食品安全意识，提高了法律法规知识水平，强化了食品安全管理能力。</w:t>
      </w:r>
    </w:p>
    <w:p w14:paraId="427BBFBF">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w:t>
      </w: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深入开展网络餐饮食品安全专项整治</w:t>
      </w:r>
      <w:r>
        <w:rPr>
          <w:rFonts w:hint="eastAsia" w:ascii="仿宋" w:hAnsi="仿宋" w:eastAsia="仿宋" w:cs="仿宋"/>
          <w:color w:val="000000"/>
          <w:kern w:val="0"/>
          <w:sz w:val="32"/>
          <w:szCs w:val="32"/>
          <w:lang w:val="en-US" w:eastAsia="zh-CN" w:bidi="ar"/>
        </w:rPr>
        <w:t>。</w:t>
      </w:r>
      <w:r>
        <w:rPr>
          <w:rFonts w:hint="eastAsia" w:ascii="仿宋_GB2312" w:hAnsi="仿宋_GB2312" w:eastAsia="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出动执法人员1966人次，摸排检查餐服务单位983家次，其中入网餐饮服务提供者餐食使用封签有976家，未按照食品经营许可证载明的主体业态、经营项目从事经营活动7家，未在网上公示菜品名称和主要原料名称12家，其他食品安全违法违规问题48家，发出《责令整改通知书》51份，责令其限期整改。此次行动采取“指导与处罚并举，指导为主，处罚为辅”的人性化执法模式，逐街道、逐店进行拉网式摸底造册和指导检查，帮助网络订餐服务单位查找薄弱环节，指导建立食品安全管理制度，加强内部管理，提高食品安全管理水平。</w:t>
      </w:r>
    </w:p>
    <w:p w14:paraId="323D0489">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cs="仿宋_GB2312"/>
          <w:b/>
          <w:bCs/>
          <w:sz w:val="32"/>
          <w:szCs w:val="32"/>
          <w:lang w:val="en-US" w:eastAsia="zh-CN"/>
        </w:rPr>
        <w:t>三是扎</w:t>
      </w: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实开展肉类产品违法犯罪专项整治。</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以农村、城乡结合部、集贸市场、大型商超、肉类产品集中销售区为重点区域，严查肉类产品来源不明、未经检疫或检疫不合格等为重点开展专项整治。共出动执法人员6934人次，检查肉类产品经营单位3467家次，发现存在问题的经营户92家，下达责令改正通知书92份，均已完成整改</w:t>
      </w:r>
      <w:r>
        <w:rPr>
          <w:rFonts w:hint="eastAsia"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w:t>
      </w:r>
    </w:p>
    <w:p w14:paraId="4A47F303">
      <w:pPr>
        <w:pStyle w:val="1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_GB2312" w:cs="仿宋"/>
          <w:b w:val="0"/>
          <w:bCs/>
          <w:color w:val="000000"/>
          <w:kern w:val="0"/>
          <w:sz w:val="32"/>
          <w:szCs w:val="32"/>
          <w:lang w:val="en-US" w:eastAsia="zh-CN" w:bidi="ar"/>
        </w:rPr>
      </w:pPr>
      <w:r>
        <w:rPr>
          <w:rFonts w:hint="eastAsia"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四是进一步</w:t>
      </w:r>
      <w:r>
        <w:rPr>
          <w:rFonts w:hint="eastAsia" w:ascii="仿宋_GB2312" w:hAnsi="仿宋_GB2312" w:eastAsia="仿宋_GB2312" w:cs="仿宋_GB2312"/>
          <w:b/>
          <w:bCs/>
          <w:sz w:val="32"/>
          <w:szCs w:val="32"/>
        </w:rPr>
        <w:t>加</w:t>
      </w:r>
      <w:r>
        <w:rPr>
          <w:rFonts w:hint="eastAsia" w:ascii="仿宋_GB2312" w:hAnsi="仿宋_GB2312" w:eastAsia="仿宋_GB2312" w:cs="仿宋_GB2312"/>
          <w:b/>
          <w:sz w:val="32"/>
          <w:szCs w:val="32"/>
        </w:rPr>
        <w:t>强食品</w:t>
      </w:r>
      <w:r>
        <w:rPr>
          <w:rFonts w:hint="eastAsia" w:cs="仿宋_GB2312"/>
          <w:b/>
          <w:sz w:val="32"/>
          <w:szCs w:val="32"/>
          <w:lang w:eastAsia="zh-CN"/>
        </w:rPr>
        <w:t>安全</w:t>
      </w:r>
      <w:r>
        <w:rPr>
          <w:rFonts w:hint="eastAsia" w:ascii="仿宋_GB2312" w:hAnsi="仿宋_GB2312" w:eastAsia="仿宋_GB2312" w:cs="仿宋_GB2312"/>
          <w:b/>
          <w:sz w:val="32"/>
          <w:szCs w:val="32"/>
        </w:rPr>
        <w:t>监督抽检</w:t>
      </w:r>
      <w:r>
        <w:rPr>
          <w:rFonts w:hint="eastAsia" w:cs="仿宋_GB2312"/>
          <w:b/>
          <w:sz w:val="32"/>
          <w:szCs w:val="32"/>
          <w:lang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坚持问题导向，</w:t>
      </w:r>
      <w:r>
        <w:rPr>
          <w:rFonts w:hint="eastAsia" w:cs="仿宋_GB2312"/>
          <w:b w:val="0"/>
          <w:bCs/>
          <w:sz w:val="32"/>
          <w:szCs w:val="32"/>
          <w:lang w:eastAsia="zh-CN"/>
        </w:rPr>
        <w:t>对重点领域、重点</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品种、重点项目开展监督抽检，完成省转移、市县农产品和区本级监督抽检任务805批次，合格率98.36%，核查处置工作按期推进。严把粮食质量安全关，开展生产环节大米专项抽检10批次，全部合格。深入开展“守底线、查隐患、保安全”深化行动，共检查食品生产经营单位6406户次，排查整改各类风险隐患问题10352个。坚持“打防结合、预防为主”的原则，积极遏制食品生产经营环节中非法添加和“两超一非”等违法行为，出动执法人员2602人次，检查食品经营户1256家次、生产企业36家次、电商平台136家次、抽检216批次，发现问题数3家，责令整改3家，立案1起。</w:t>
      </w:r>
    </w:p>
    <w:p w14:paraId="099CF259">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2.</w:t>
      </w: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筑牢“两品一械”安全防线</w:t>
      </w:r>
    </w:p>
    <w:p w14:paraId="7F508D4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75" w:firstLineChars="200"/>
        <w:jc w:val="both"/>
        <w:textAlignment w:val="auto"/>
        <w:rPr>
          <w:rFonts w:hint="eastAsia" w:ascii="仿宋_GB2312" w:hAnsi="仿宋_GB2312" w:eastAsia="仿宋_GB2312" w:cs="仿宋_GB2312"/>
          <w:i w:val="0"/>
          <w:iCs w:val="0"/>
          <w:caps w:val="0"/>
          <w:spacing w:val="8"/>
          <w:sz w:val="32"/>
          <w:szCs w:val="32"/>
          <w:shd w:val="clear" w:fill="FFFFFF"/>
          <w:lang w:val="en-US" w:eastAsia="zh-CN"/>
        </w:rPr>
      </w:pPr>
      <w:r>
        <w:rPr>
          <w:rFonts w:hint="eastAsia" w:ascii="仿宋_GB2312" w:hAnsi="仿宋_GB2312" w:eastAsia="仿宋_GB2312" w:cs="仿宋_GB2312"/>
          <w:b/>
          <w:bCs/>
          <w:spacing w:val="8"/>
          <w:sz w:val="32"/>
          <w:szCs w:val="32"/>
          <w:lang w:eastAsia="zh-CN"/>
        </w:rPr>
        <w:t>一是查漏补缺，日常监管全覆盖。</w:t>
      </w:r>
      <w:r>
        <w:rPr>
          <w:rFonts w:hint="eastAsia" w:ascii="仿宋_GB2312" w:hAnsi="仿宋_GB2312" w:eastAsia="仿宋_GB2312" w:cs="仿宋_GB2312"/>
          <w:spacing w:val="8"/>
          <w:sz w:val="32"/>
          <w:szCs w:val="32"/>
          <w:lang w:eastAsia="zh-CN"/>
        </w:rPr>
        <w:t>对辖区14</w:t>
      </w:r>
      <w:r>
        <w:rPr>
          <w:rFonts w:hint="eastAsia" w:ascii="仿宋_GB2312" w:hAnsi="仿宋_GB2312" w:eastAsia="仿宋_GB2312" w:cs="仿宋_GB2312"/>
          <w:spacing w:val="8"/>
          <w:sz w:val="32"/>
          <w:szCs w:val="32"/>
          <w:lang w:val="en-US" w:eastAsia="zh-CN"/>
        </w:rPr>
        <w:t>5</w:t>
      </w:r>
      <w:r>
        <w:rPr>
          <w:rFonts w:hint="eastAsia" w:ascii="仿宋_GB2312" w:hAnsi="仿宋_GB2312" w:eastAsia="仿宋_GB2312" w:cs="仿宋_GB2312"/>
          <w:spacing w:val="8"/>
          <w:sz w:val="32"/>
          <w:szCs w:val="32"/>
          <w:lang w:eastAsia="zh-CN"/>
        </w:rPr>
        <w:t>家药品零售企业、</w:t>
      </w:r>
      <w:r>
        <w:rPr>
          <w:rFonts w:hint="eastAsia" w:ascii="仿宋_GB2312" w:hAnsi="仿宋_GB2312" w:eastAsia="仿宋_GB2312" w:cs="仿宋_GB2312"/>
          <w:spacing w:val="8"/>
          <w:sz w:val="32"/>
          <w:szCs w:val="32"/>
          <w:lang w:val="en-US" w:eastAsia="zh-CN"/>
        </w:rPr>
        <w:t>263</w:t>
      </w:r>
      <w:r>
        <w:rPr>
          <w:rFonts w:hint="eastAsia" w:ascii="仿宋_GB2312" w:hAnsi="仿宋_GB2312" w:eastAsia="仿宋_GB2312" w:cs="仿宋_GB2312"/>
          <w:spacing w:val="8"/>
          <w:sz w:val="32"/>
          <w:szCs w:val="32"/>
          <w:lang w:eastAsia="zh-CN"/>
        </w:rPr>
        <w:t>家医疗机构（重点对8家三级甲等医院）的监管频次增加，</w:t>
      </w:r>
      <w:r>
        <w:rPr>
          <w:rFonts w:hint="eastAsia" w:ascii="仿宋_GB2312" w:hAnsi="仿宋_GB2312" w:eastAsia="仿宋_GB2312" w:cs="仿宋_GB2312"/>
          <w:spacing w:val="8"/>
          <w:sz w:val="32"/>
          <w:szCs w:val="32"/>
          <w:lang w:val="en-US" w:eastAsia="zh-CN"/>
        </w:rPr>
        <w:t>要求企业及时自查，上交自查报告</w:t>
      </w:r>
      <w:r>
        <w:rPr>
          <w:rFonts w:hint="eastAsia" w:ascii="仿宋_GB2312" w:hAnsi="仿宋_GB2312" w:eastAsia="仿宋_GB2312" w:cs="仿宋_GB2312"/>
          <w:i w:val="0"/>
          <w:iCs w:val="0"/>
          <w:caps w:val="0"/>
          <w:spacing w:val="8"/>
          <w:sz w:val="32"/>
          <w:szCs w:val="32"/>
          <w:shd w:val="clear" w:fill="FFFFFF"/>
          <w:lang w:val="en-US"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对辖区1家疾控中心，15家疫苗接种单位进行检查，对辖区含XBB变异株抗原成分疫苗1家疾控机构以及5家接种单位实现全覆盖检查。对新冠病毒疫苗接种单位全年实现了2次全覆盖。督促辖区药店使用“江西省执业药师管理”系统进行执业药师在岗打卡活动，严厉打击执业药师“挂证”行为，规范处方药销售行为。重点督促指导药品网络零售企业加强网售药品质量管理，要求企业严格按照批准的经营范围和经营方式开展药品网络销售；严格按照药品经营质量管理规范要求开展药品网络零售配送，共检查辖区药品网络销售企业数量77家，派出检查人员156人次。</w:t>
      </w:r>
    </w:p>
    <w:p w14:paraId="72654A69">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75" w:firstLineChars="200"/>
        <w:textAlignment w:val="baseline"/>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spacing w:val="8"/>
          <w:sz w:val="32"/>
          <w:szCs w:val="32"/>
          <w:highlight w:val="none"/>
          <w:lang w:val="en-US" w:eastAsia="zh-CN"/>
        </w:rPr>
        <w:t>二是</w:t>
      </w:r>
      <w:r>
        <w:rPr>
          <w:rFonts w:hint="eastAsia" w:ascii="仿宋_GB2312" w:hAnsi="仿宋_GB2312" w:eastAsia="仿宋_GB2312" w:cs="仿宋_GB2312"/>
          <w:b/>
          <w:bCs/>
          <w:spacing w:val="8"/>
          <w:sz w:val="32"/>
          <w:szCs w:val="32"/>
          <w:highlight w:val="none"/>
          <w:lang w:eastAsia="zh-CN"/>
        </w:rPr>
        <w:t>严格监管，</w:t>
      </w: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监测工作不放松。</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开展医疗器械各专项检查，对辖区内83家医疗器械三类经营企业进行检查，出动人员160人次，责令整改企业共计69家。对于辖区内储存运输医疗器械经营企业异常的情况，重点核对企业许可证备案凭证上核准的仓库地址是否实际有效，共检查企业50家，出动人员100余人次，7月底主动注销企业6家，立案2起，责令整改企业共计8家。督导辖区内监测单位积极上报医疗器械不良反应，对医院上报的不规范报告及时督促修改，对不及时上报的医院进行约谈，督促不良事件上报工作落实到位。</w:t>
      </w:r>
    </w:p>
    <w:p w14:paraId="4B683B7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b w:val="0"/>
          <w:bCs w:val="0"/>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三是保质保量，</w:t>
      </w:r>
      <w:r>
        <w:rPr>
          <w:rFonts w:hint="eastAsia" w:ascii="仿宋_GB2312" w:hAnsi="仿宋_GB2312" w:eastAsia="仿宋_GB2312" w:cs="仿宋_GB2312"/>
          <w:b/>
          <w:bCs/>
          <w:spacing w:val="8"/>
          <w:sz w:val="32"/>
          <w:szCs w:val="32"/>
          <w:highlight w:val="none"/>
          <w:lang w:val="en-US" w:eastAsia="zh-CN"/>
        </w:rPr>
        <w:t>专项行动齐开展。</w:t>
      </w:r>
      <w:r>
        <w:rPr>
          <w:rFonts w:hint="eastAsia" w:ascii="仿宋_GB2312" w:hAnsi="仿宋_GB2312" w:eastAsia="仿宋_GB2312" w:cs="仿宋_GB2312"/>
          <w:b w:val="0"/>
          <w:bCs w:val="0"/>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制定专项检查工作方案，从美容机构和专卖店经营祛斑美白、祛痘类化妆品的产品合法性、标签标识、进货查验、台账管理和产品质量等方面着手，出动检查人员134人次对25家美容机构和42家专卖店进行检查。开展“一号多用”违法行为、贴牌相关产品质量安全专项检查工作，组织开展自查的企业256家，清理违法产品数78盒，检查了185家企业，责令整改了7家企业，约谈了5家企业，经营环节抽查了523个产品。开展化妆品经营监督检查要点（课题稿）试行工作，检查了40家化妆品经营单位，出动了执法人员92人次，排查了11条隐患风险点。对前期排查的隐患风险点进行了回头看检查，确保化妆品经营安全。开展校园周边儿童化妆品专项检查，出动监督检查98人次，检查校园周边玩具店37家，检查校园周边文具店34家，检查校园周边超市4家，普法宣传经营者49家，发放张贴宣传资料77份，科普宣传受众142人，举办科普活动3场次。全面推进“妆安行动”化妆品标准化店（商场）建设工作，从全区挑选经营规模大、经营时间久、口碑好、落实主体责任到位的化妆品经营企业，作为标准化店建设的标杆，已推荐化妆品标准化店13家。</w:t>
      </w:r>
    </w:p>
    <w:p w14:paraId="5057E32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3.聚焦特种设备安全重点</w:t>
      </w:r>
    </w:p>
    <w:p w14:paraId="7EA03619">
      <w:pPr>
        <w:keepNext w:val="0"/>
        <w:keepLines w:val="0"/>
        <w:pageBreakBefore w:val="0"/>
        <w:numPr>
          <w:ilvl w:val="0"/>
          <w:numId w:val="0"/>
        </w:numPr>
        <w:shd w:val="clea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一是重点时段</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狠抓岁末年初、元旦、低温雨雪冰冻天气、春节、“五一”、高考、中考、“六一”、端午节、中秋节、国庆节及国庆烟火晚会等期间特种设备的风险管控和隐患排查整治，确保重点时段特种设备安全运行，保障人民群众生命财产安全。</w:t>
      </w:r>
    </w:p>
    <w:p w14:paraId="742F3446">
      <w:pPr>
        <w:keepNext w:val="0"/>
        <w:keepLines w:val="0"/>
        <w:pageBreakBefore w:val="0"/>
        <w:numPr>
          <w:ilvl w:val="0"/>
          <w:numId w:val="0"/>
        </w:numPr>
        <w:shd w:val="clea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二是重点领域</w:t>
      </w:r>
      <w:r>
        <w:rPr>
          <w:rFonts w:hint="eastAsia" w:ascii="仿宋" w:hAnsi="仿宋" w:eastAsia="仿宋" w:cstheme="minorBidi"/>
          <w:kern w:val="2"/>
          <w:sz w:val="32"/>
          <w:szCs w:val="32"/>
          <w:lang w:val="en-US" w:eastAsia="zh-CN" w:bidi="ar-SA"/>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开展市场监管领域城镇燃气安全专项整治、车用气瓶充装单位安全专项检查、全市冷库特种设备安全隐患排查整治、违法充装液化石油气“黑气瓶”集中整治等专项监督检查，共出动安全监察人员1604人次，对802家使用单位（含气瓶充装单位2家）3043台次特种设备（锅炉18、压力容器383、压力管道10、电梯2588、起重机械54、场车53、大型游乐设施57台次）进行了专项安全监督检查。下达《特种设备安全监察指令书》21份，发现安全隐患149条，已整改147条，另外2条隐患正在整改中。</w:t>
      </w:r>
    </w:p>
    <w:p w14:paraId="7BB45CC1">
      <w:pPr>
        <w:keepNext w:val="0"/>
        <w:keepLines w:val="0"/>
        <w:pageBreakBefore w:val="0"/>
        <w:numPr>
          <w:ilvl w:val="0"/>
          <w:numId w:val="0"/>
        </w:numPr>
        <w:shd w:val="clea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cs="仿宋"/>
          <w:b/>
          <w:bCs/>
          <w:color w:val="000000" w:themeColor="text1"/>
          <w:sz w:val="32"/>
          <w:szCs w:val="32"/>
          <w:highlight w:val="none"/>
          <w:lang w:eastAsia="zh-CN"/>
          <w14:textFill>
            <w14:solidFill>
              <w14:schemeClr w14:val="tx1"/>
            </w14:solidFill>
          </w14:textFill>
        </w:rPr>
        <w:t>三是</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重点</w:t>
      </w:r>
      <w:r>
        <w:rPr>
          <w:rFonts w:hint="eastAsia" w:ascii="仿宋" w:hAnsi="仿宋" w:eastAsia="仿宋" w:cs="仿宋"/>
          <w:b/>
          <w:bCs/>
          <w:color w:val="000000" w:themeColor="text1"/>
          <w:sz w:val="32"/>
          <w:szCs w:val="32"/>
          <w:highlight w:val="none"/>
          <w:lang w:eastAsia="zh-CN"/>
          <w14:textFill>
            <w14:solidFill>
              <w14:schemeClr w14:val="tx1"/>
            </w14:solidFill>
          </w14:textFill>
        </w:rPr>
        <w:t>培训</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安全生产月期间共组织开展宣讲活动3场，参与人次1120人次，举行“特种设备安全宣传日”启动仪式1场，开展应急救援演练4次，组织特种设备安全进校园、进企业、进社区等“三进”活动 3 次，举办特种设备安全知识“校园小课堂”1次，举办特种设备科普讲座1 次，开展特种设备安全“主题党日” 1 次、特种设备安全警示教育1 次，悬挂横幅5 条、设置展板10 块、发放宣传手册1050 份。</w:t>
      </w:r>
    </w:p>
    <w:p w14:paraId="7372D35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4.落实产品质量安全整治</w:t>
      </w:r>
    </w:p>
    <w:p w14:paraId="64197B6E">
      <w:pPr>
        <w:pStyle w:val="16"/>
        <w:keepNext w:val="0"/>
        <w:keepLines w:val="0"/>
        <w:pageBreakBefore w:val="0"/>
        <w:widowControl w:val="0"/>
        <w:numPr>
          <w:ilvl w:val="0"/>
          <w:numId w:val="0"/>
        </w:numPr>
        <w:shd w:val="clear"/>
        <w:tabs>
          <w:tab w:val="left" w:pos="1418"/>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eastAsia="zh-CN"/>
        </w:rPr>
        <w:t>一是</w:t>
      </w:r>
      <w:r>
        <w:rPr>
          <w:rFonts w:hint="eastAsia" w:ascii="仿宋" w:hAnsi="仿宋" w:eastAsia="仿宋"/>
          <w:b/>
          <w:sz w:val="32"/>
          <w:szCs w:val="32"/>
        </w:rPr>
        <w:t>深入开展电动自行车安全隐患全链条整治行动</w:t>
      </w:r>
      <w:r>
        <w:rPr>
          <w:rFonts w:hint="eastAsia" w:ascii="仿宋" w:hAnsi="仿宋" w:eastAsia="仿宋"/>
          <w:b/>
          <w:sz w:val="32"/>
          <w:szCs w:val="32"/>
          <w:lang w:val="en-US"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高度重视电动自行车整治工作，制定印发了《电动自行车整治方案》，对辖区电动自行车经营户实行网格化监管，明确监管责任人，压实工作责任。成立整治工作专班，定期召开专项部署会，推动辖区电动自行车安全隐患排查整治工作走深走实。整治专班每周对各分局的巡查情况及电动自行车经营户整改情况进行1次督导核查，并安排专人参与区电动自行车全链条整治专班每周1次的集中整治行动。目前共出动执法人员430多人次，检查电动自行车经营户216家次，发现问题隐患数10个，开出提醒敦促函6份，下达责令整改通知书4份，查处涉嫌非法拼改装的电动自行车经营户4家，已全部移送市局稽查局东湖分局立案调查。对1家市抽不合格的电动自行车经营户进行了立案查处等后处理工作。对在整治过程中发现的分局工作人员监管不到位情况，提醒约谈2人。通过案件查处，实现 “查处一个，警示一批，教育一片”的整治目的。为宣贯新实施的三个电动自行车（电气安全、锂离子蓄电池、充电器）强制性国家标准，印制宣传资料1000多份，开展现场宣传进店、进社区等宣传活动，促使电动自行车经营者守法合规经营。</w:t>
      </w:r>
    </w:p>
    <w:p w14:paraId="32427A67">
      <w:pPr>
        <w:pStyle w:val="16"/>
        <w:keepNext w:val="0"/>
        <w:keepLines w:val="0"/>
        <w:pageBreakBefore w:val="0"/>
        <w:widowControl w:val="0"/>
        <w:numPr>
          <w:ilvl w:val="0"/>
          <w:numId w:val="0"/>
        </w:numPr>
        <w:shd w:val="clear"/>
        <w:tabs>
          <w:tab w:val="left" w:pos="1418"/>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val="en-US" w:eastAsia="zh-CN"/>
        </w:rPr>
        <w:t>二是</w:t>
      </w:r>
      <w:r>
        <w:rPr>
          <w:rFonts w:hint="eastAsia" w:ascii="仿宋" w:hAnsi="仿宋" w:eastAsia="仿宋"/>
          <w:b/>
          <w:sz w:val="32"/>
          <w:szCs w:val="32"/>
        </w:rPr>
        <w:t>深入开展城镇燃气安全专项整治行动</w:t>
      </w:r>
      <w:r>
        <w:rPr>
          <w:rFonts w:hint="eastAsia" w:ascii="仿宋" w:hAnsi="仿宋" w:eastAsia="仿宋"/>
          <w:b/>
          <w:sz w:val="32"/>
          <w:szCs w:val="32"/>
          <w:lang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按照《城镇燃气相关产品质量安全监督检查表》，对本辖区内燃气具产品经营单位逐一核查。重点检查燃气具（灶管阀及报警装置）产品是否取得3C证书、质量是否符合国家标准、销售单位是否落实工业产品质量安全主体责任等内容。共出动执法人员150多人次，检查燃气器具销售单位73家次，对1家未建立质量安全管理制度、配备质量安全总监的燃气具经营单位进行了督促整改。</w:t>
      </w:r>
    </w:p>
    <w:p w14:paraId="515DF7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eastAsia="zh-CN"/>
        </w:rPr>
        <w:t>三是</w:t>
      </w:r>
      <w:r>
        <w:rPr>
          <w:rFonts w:hint="eastAsia" w:ascii="仿宋" w:hAnsi="仿宋" w:eastAsia="仿宋"/>
          <w:b/>
          <w:sz w:val="32"/>
          <w:szCs w:val="32"/>
        </w:rPr>
        <w:t>深入开展儿童学生用品质量安全整治行动</w:t>
      </w:r>
      <w:r>
        <w:rPr>
          <w:rFonts w:hint="eastAsia" w:ascii="仿宋" w:hAnsi="仿宋" w:eastAsia="仿宋"/>
          <w:b/>
          <w:sz w:val="32"/>
          <w:szCs w:val="32"/>
          <w:lang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以校园、考点周边的文具店、商场、超市为重点，开展儿童学生用品质量安全专项检查。重点检查经营户是否销售“三无”、无3C认证、无警示说明的儿童玩具文具，同时对经营户是否销售“萝卜刀”、“泡大珠”等危险非玩具产品进行清理，要求经营户严格落实质量安全主体责任，严格执行进货验收制度，杜绝销售质量不合格及不利于儿童身心健康的文具玩具。截至目前，共出动执法人员130人次，检查校园周边文具店、小超市64家次。</w:t>
      </w:r>
    </w:p>
    <w:p w14:paraId="316ED0E5">
      <w:pPr>
        <w:keepNext w:val="0"/>
        <w:keepLines w:val="0"/>
        <w:pageBreakBefore w:val="0"/>
        <w:tabs>
          <w:tab w:val="left" w:pos="1418"/>
        </w:tabs>
        <w:wordWrap/>
        <w:overflowPunct/>
        <w:topLinePunct w:val="0"/>
        <w:bidi w:val="0"/>
        <w:spacing w:line="560" w:lineRule="exact"/>
        <w:ind w:firstLine="643" w:firstLineChars="200"/>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eastAsia="zh-CN"/>
        </w:rPr>
        <w:t>四是深入</w:t>
      </w:r>
      <w:r>
        <w:rPr>
          <w:rFonts w:ascii="仿宋" w:hAnsi="仿宋" w:eastAsia="仿宋"/>
          <w:b/>
          <w:sz w:val="32"/>
          <w:szCs w:val="32"/>
        </w:rPr>
        <w:t>开展塑料污</w:t>
      </w:r>
      <w:r>
        <w:rPr>
          <w:rFonts w:hint="eastAsia" w:ascii="仿宋" w:hAnsi="仿宋" w:eastAsia="仿宋"/>
          <w:b/>
          <w:sz w:val="32"/>
          <w:szCs w:val="32"/>
        </w:rPr>
        <w:t>染</w:t>
      </w:r>
      <w:r>
        <w:rPr>
          <w:rFonts w:ascii="仿宋" w:hAnsi="仿宋" w:eastAsia="仿宋"/>
          <w:b/>
          <w:sz w:val="32"/>
          <w:szCs w:val="32"/>
        </w:rPr>
        <w:t>治理、农</w:t>
      </w:r>
      <w:r>
        <w:rPr>
          <w:rFonts w:hint="eastAsia" w:ascii="仿宋" w:hAnsi="仿宋" w:eastAsia="仿宋"/>
          <w:b/>
          <w:sz w:val="32"/>
          <w:szCs w:val="32"/>
        </w:rPr>
        <w:t>资</w:t>
      </w:r>
      <w:r>
        <w:rPr>
          <w:rFonts w:ascii="仿宋" w:hAnsi="仿宋" w:eastAsia="仿宋"/>
          <w:b/>
          <w:sz w:val="32"/>
          <w:szCs w:val="32"/>
        </w:rPr>
        <w:t>、消防产品</w:t>
      </w:r>
      <w:r>
        <w:rPr>
          <w:rFonts w:hint="eastAsia" w:ascii="仿宋" w:hAnsi="仿宋" w:eastAsia="仿宋"/>
          <w:b/>
          <w:sz w:val="32"/>
          <w:szCs w:val="32"/>
        </w:rPr>
        <w:t>等重点工</w:t>
      </w:r>
      <w:r>
        <w:rPr>
          <w:rFonts w:ascii="仿宋" w:hAnsi="仿宋" w:eastAsia="仿宋"/>
          <w:b/>
          <w:sz w:val="32"/>
          <w:szCs w:val="32"/>
        </w:rPr>
        <w:t>业产品专项整治</w:t>
      </w:r>
      <w:r>
        <w:rPr>
          <w:rFonts w:hint="eastAsia" w:ascii="仿宋" w:hAnsi="仿宋" w:eastAsia="仿宋"/>
          <w:b/>
          <w:sz w:val="32"/>
          <w:szCs w:val="32"/>
          <w:lang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根据省市局塑料污染治理工作要求，组织开展对辖区塑料制品生产企业的排查建档，强化对集贸市场、商超、餐饮等塑料制品经营环节的监督检查力度，切实抓好超薄塑料袋、农用薄膜、一次性餐饮具等塑料制品的污染整治工作。半年来，共出动执法人员340多人次，检查塑料制品经营使用单位162家次。开展了农资产品质量监管，出动执法人员12人次，检查化肥农资经营户6家次。开展了消防产品质量监管，检查消防产品经营户2家，与东湖消防大队联合对2家消防产品使用单位进行了监督检查。</w:t>
      </w:r>
    </w:p>
    <w:p w14:paraId="3EF492E1">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t>（二）</w:t>
      </w: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优服务，促提升，护航高质量发展</w:t>
      </w:r>
    </w:p>
    <w:p w14:paraId="39E2BA9C">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仿宋" w:hAnsi="仿宋" w:eastAsia="仿宋" w:cs="仿宋"/>
          <w:b/>
          <w:bCs/>
          <w:i w:val="0"/>
          <w:iCs w:val="0"/>
          <w:caps w:val="0"/>
          <w:color w:val="000000" w:themeColor="text1"/>
          <w:spacing w:val="0"/>
          <w:kern w:val="2"/>
          <w:sz w:val="32"/>
          <w:szCs w:val="32"/>
          <w:shd w:val="clear" w:fill="FFFFFF"/>
          <w:lang w:val="en-US" w:eastAsia="zh-CN" w:bidi="ar-SA"/>
          <w14:textFill>
            <w14:solidFill>
              <w14:schemeClr w14:val="tx1"/>
            </w14:solidFill>
          </w14:textFill>
        </w:rPr>
        <w:t>一是持续优化企业行政审批服务水平。</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依托全市“一照通办”平台，将部分高频涉企许可（备案）事项纳入“一照通办”平台，打造营业执照和后置经营许可联审联办的新审批模式。目前已整合 20 余个市直部门</w:t>
      </w:r>
      <w:r>
        <w:rPr>
          <w:rFonts w:hint="default"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的</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103 项高频许可事项与营业执照实行联审联办，实现一企一照、一照准营、全部涵盖，办证时间大幅缩减。</w:t>
      </w:r>
    </w:p>
    <w:p w14:paraId="37B6093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cs="仿宋"/>
          <w:b/>
          <w:bCs/>
          <w:i w:val="0"/>
          <w:iCs w:val="0"/>
          <w:caps w:val="0"/>
          <w:color w:val="000000" w:themeColor="text1"/>
          <w:spacing w:val="0"/>
          <w:kern w:val="2"/>
          <w:sz w:val="32"/>
          <w:szCs w:val="32"/>
          <w:shd w:val="clear" w:fill="FFFFFF"/>
          <w:lang w:val="en-US" w:eastAsia="zh-CN" w:bidi="ar-SA"/>
          <w14:textFill>
            <w14:solidFill>
              <w14:schemeClr w14:val="tx1"/>
            </w14:solidFill>
          </w14:textFill>
        </w:rPr>
        <w:t>二是科学构建信用监管体系。</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围绕发挥信用监管核心作用，构建从信息归集共享到信用分类监管再到失信联合惩戒的监管闭环。积极组织全区各成员单位上传单位许可、处罚、抽查检查、小微企业扶持、联合惩戒、荣誉信息等信息，进行数据归集，实现市场监管领域所有涉企行政许可和处罚信息都要记于企业名下并依法公示。截至11月20日，国家企业信用信息公示平台归集信息413836条。严格依法实行信用约束制度，按照“宽进严管”的总要求，对应当列入经营异常名录管理的，严格执法，及时列入并公示。截至11月20日，共将529家企业列入经营异常名录。按照包容审慎原则，创新建立严重违法失信企业信用修复机制。移出异常名录坚持“补报移出必查”的原则，实行统一标准、统一受理、统一归档。截至11月20日，共解除企业异常名录106户。相继有7户企业在“一处失信、处处受限”的环境中主动进行整改，申请信用修复，公示期满后抹除处罚记录。</w:t>
      </w:r>
    </w:p>
    <w:p w14:paraId="7D2332A9">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cs="仿宋"/>
          <w:b/>
          <w:bCs/>
          <w:i w:val="0"/>
          <w:iCs w:val="0"/>
          <w:caps w:val="0"/>
          <w:color w:val="000000" w:themeColor="text1"/>
          <w:spacing w:val="0"/>
          <w:kern w:val="2"/>
          <w:sz w:val="32"/>
          <w:szCs w:val="32"/>
          <w:shd w:val="clear" w:fill="FFFFFF"/>
          <w:lang w:val="en-US" w:eastAsia="zh-CN" w:bidi="ar-SA"/>
          <w14:textFill>
            <w14:solidFill>
              <w14:schemeClr w14:val="tx1"/>
            </w14:solidFill>
          </w14:textFill>
        </w:rPr>
        <w:t>三是</w:t>
      </w:r>
      <w:r>
        <w:rPr>
          <w:rFonts w:hint="eastAsia" w:ascii="仿宋" w:hAnsi="仿宋" w:eastAsia="仿宋" w:cs="仿宋"/>
          <w:b/>
          <w:bCs/>
          <w:sz w:val="32"/>
          <w:szCs w:val="32"/>
        </w:rPr>
        <w:t>提升知识产权创造质量和运用效益</w:t>
      </w:r>
      <w:r>
        <w:rPr>
          <w:rFonts w:hint="eastAsia" w:ascii="仿宋" w:hAnsi="仿宋" w:eastAsia="仿宋" w:cs="仿宋"/>
          <w:b/>
          <w:bCs/>
          <w:sz w:val="32"/>
          <w:szCs w:val="32"/>
          <w:lang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东湖区申请、注册商标持续增长，商标申请件数达1079件，商标注册件数达742件，有效注册量达11789件。为进一步提高宣传普及面，联合区人民法院、区金融服务中心、区科协、九江银行走进豫章1号文化产业园开展“知识产权转化运用促进高质量发展”主题宣传活动，邀请园区创新型企业代表召开知识产权转化运用对接会，发放知识产权宣传资料200余份，接待群众咨询60余人次。为促进专利成果转化，一方面指导10家医疗卫生单位、3家企业、2所科研院所申报知识产权专员，并指导东湖区企业江西天轴通讯有限公司申报江西省、南昌市重点商标指导名录；另一方面引导企业盘活知识产权资源，实现“知本”向“资本”的转化。通过积极走访民营企业，主动掌握企业融资需求，加强与金融服务中心、银行、企业的联系，搭建政银企沟通对接平台，截至目前，东湖区完成专利质押融资登记额1520万元，专利质押金额飞速增长。</w:t>
      </w:r>
    </w:p>
    <w:p w14:paraId="573DC162">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eastAsia="zh-CN"/>
        </w:rPr>
        <w:t>四是大力</w:t>
      </w:r>
      <w:r>
        <w:rPr>
          <w:rFonts w:ascii="仿宋" w:hAnsi="仿宋" w:eastAsia="仿宋"/>
          <w:b/>
          <w:sz w:val="32"/>
          <w:szCs w:val="32"/>
        </w:rPr>
        <w:t>推进质量</w:t>
      </w:r>
      <w:r>
        <w:rPr>
          <w:rFonts w:hint="eastAsia" w:ascii="仿宋" w:hAnsi="仿宋" w:eastAsia="仿宋"/>
          <w:b/>
          <w:sz w:val="32"/>
          <w:szCs w:val="32"/>
        </w:rPr>
        <w:t>强</w:t>
      </w:r>
      <w:r>
        <w:rPr>
          <w:rFonts w:ascii="仿宋" w:hAnsi="仿宋" w:eastAsia="仿宋"/>
          <w:b/>
          <w:sz w:val="32"/>
          <w:szCs w:val="32"/>
        </w:rPr>
        <w:t>区</w:t>
      </w:r>
      <w:r>
        <w:rPr>
          <w:rFonts w:hint="eastAsia" w:ascii="仿宋" w:hAnsi="仿宋" w:eastAsia="仿宋"/>
          <w:b/>
          <w:sz w:val="32"/>
          <w:szCs w:val="32"/>
        </w:rPr>
        <w:t>建设</w:t>
      </w:r>
      <w:r>
        <w:rPr>
          <w:rFonts w:hint="eastAsia" w:ascii="仿宋" w:hAnsi="仿宋" w:eastAsia="仿宋"/>
          <w:b/>
          <w:sz w:val="32"/>
          <w:szCs w:val="32"/>
          <w:lang w:eastAsia="zh-CN"/>
        </w:rPr>
        <w:t>。</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稳步推进工业产品生产经营企业落实质量安全主体责任。目前已组织265家生产、经销企业设立质量安全总监和质量安全员，组织27家单位建立了企业首席质量官制度，并组织辖区首席质量官参加省市局网络培训。组织南昌建筑工程公司等企业参加市局举办的品牌故事大赛、先进质量管理典型案例等评选活动。组织辖区3家质量基础设施“一站式”服务点进行了创建、培训及评价活动。</w:t>
      </w:r>
    </w:p>
    <w:p w14:paraId="626DADB0">
      <w:pPr>
        <w:keepNext w:val="0"/>
        <w:keepLines w:val="0"/>
        <w:pageBreakBefore w:val="0"/>
        <w:widowControl w:val="0"/>
        <w:shd w:val="clea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000000" w:themeColor="text1"/>
          <w:spacing w:val="0"/>
          <w:sz w:val="32"/>
          <w:szCs w:val="32"/>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（三）强监管、严执法，推动营商环境优化</w:t>
      </w:r>
    </w:p>
    <w:p w14:paraId="1E7602A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default"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1.深入开展公平竞争与价格监管工作</w:t>
      </w:r>
    </w:p>
    <w:p w14:paraId="12E9C6BC">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val="en-US" w:eastAsia="zh-CN"/>
        </w:rPr>
        <w:t>一是全面加强公平竞争审查工作。</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组织开展自查清理，按照“谁出台、谁清理”的原则，持续开展妨碍统一市场和公平竞争的政策措施清理工作，认真落实《公平竞争审查制度实施细则》（国市监发垄规〔2021〕2号）明确的基本审查规则，按照全市工作重点的要求，区公竞办组织全区各单位分别于2024年5、6、7、9、11月先后组织开展5次政策措施清理工作。积极开展公平竞争审查政策宣传，采取了户外大型显示屏滚动播放的形式，分别在武商广场、长申购物广场、江旅方舟综合体进行了为期一周的政策宣传活动。</w:t>
      </w:r>
    </w:p>
    <w:p w14:paraId="020724FD">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val="en-US" w:eastAsia="zh-CN"/>
        </w:rPr>
        <w:t>二是深入开展涉企违规收费专项整治。</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开展转供电环节加价大排查工作，对辖区30户转供电企业进行了排查，其中企业已注销2家，物业企业商户已办理一户一表2家，物业企业内还未入驻商户1家，企业经营地址变更1家。辖区正常经营的转供电企业24户，严格执行了政府定价23户，1户收取了10%的线损费用，已对其进行提醒告诫并责令改正，并将跟进监督。</w:t>
      </w:r>
    </w:p>
    <w:p w14:paraId="5FECC436">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b/>
          <w:sz w:val="32"/>
          <w:szCs w:val="32"/>
          <w:lang w:val="en-US" w:eastAsia="zh-CN"/>
        </w:rPr>
        <w:t>三是高度重视民生领域价格监管工作。</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医疗服务价格方面，参加由区卫健委牵头的医疗美容行业专项整治，派出检查人员2人，检查辖区医美机构18家，重点查处医疗机构不执行政府指导价、加价超过规定差率、重复收费、变相提高收费标准等行为，现场纠正指导1家医美机构及时明码标价。旅游市场价格监管方面，在全区范围内开展规范涉旅行业价格秩序专项整治行动，巡查检查餐饮服务420家，酒店住宿90家，景区景点9个，景点周边零售商店8家，进行行政约谈5家，发出提醒告诫95次，开展政策宣传146次。</w:t>
      </w:r>
    </w:p>
    <w:p w14:paraId="6424ABAB">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2.严格开展行政综合执法工作</w:t>
      </w:r>
    </w:p>
    <w:p w14:paraId="296FC54F">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hAnsi="仿宋_GB2312" w:eastAsia="仿宋_GB2312" w:cs="仿宋_GB2312"/>
          <w:bCs/>
          <w:kern w:val="2"/>
          <w:sz w:val="32"/>
          <w:szCs w:val="32"/>
          <w:lang w:val="en-US" w:eastAsia="zh-CN" w:bidi="ar-SA"/>
        </w:rPr>
      </w:pPr>
      <w:r>
        <w:rPr>
          <w:rFonts w:hint="eastAsia" w:ascii="仿宋" w:hAnsi="仿宋" w:eastAsia="仿宋"/>
          <w:b/>
          <w:sz w:val="32"/>
          <w:szCs w:val="32"/>
          <w:lang w:val="en-US" w:eastAsia="zh-CN"/>
        </w:rPr>
        <w:t>一是依法依规进行案件核审工作。</w:t>
      </w:r>
      <w:r>
        <w:rPr>
          <w:rFonts w:hint="eastAsia" w:ascii="仿宋_GB2312" w:hAnsi="仿宋_GB2312" w:eastAsia="仿宋_GB2312" w:cs="仿宋_GB2312"/>
          <w:bCs/>
          <w:kern w:val="2"/>
          <w:sz w:val="32"/>
          <w:szCs w:val="32"/>
          <w:lang w:val="en-US" w:eastAsia="zh-CN" w:bidi="ar-SA"/>
        </w:rPr>
        <w:t>加强涉嫌违法案件的案件核审，移送核审、听证、行政复议工作，及时纠正规范行政执法行为。截至目前，按照委托权限共立案71起，其中食品抽检核查处置案件30起，餐饮案件1起，药品14起，化妆品案件4起，医疗器械案件9起，商标侵权案件7起，质量案件1起，特种设备案件1起，计量案件3起，消费者权益保护案件1起。已办结行政处罚案件59起，其中适用从轻处罚19件，减轻处罚12件，开展行政听证案件1起，罚没金额共221621.74元。</w:t>
      </w:r>
    </w:p>
    <w:p w14:paraId="473D6809">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二是全面提升行政执法能力。</w:t>
      </w:r>
      <w:r>
        <w:rPr>
          <w:rFonts w:hint="eastAsia" w:ascii="仿宋_GB2312" w:hAnsi="仿宋_GB2312" w:eastAsia="仿宋_GB2312" w:cs="仿宋_GB2312"/>
          <w:bCs/>
          <w:kern w:val="2"/>
          <w:sz w:val="32"/>
          <w:szCs w:val="32"/>
          <w:lang w:val="en-US" w:eastAsia="zh-CN" w:bidi="ar-SA"/>
        </w:rPr>
        <w:t>常态化开展、参与“以考促学”工作。全局100名持执法证人员全部参与区司法局、市司法局组织的“以考促学”考试。印发《东湖区市场监督管理局常态化开展行政执法人员“以考促学”工作方案》，督促行政执法人员提高认识，抓好学习自测。</w:t>
      </w:r>
    </w:p>
    <w:p w14:paraId="4B0E3029">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default"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3.积极维护消费者合法权益</w:t>
      </w:r>
    </w:p>
    <w:p w14:paraId="2924C3B7">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rPr>
      </w:pPr>
      <w:r>
        <w:rPr>
          <w:rFonts w:hint="eastAsia" w:ascii="仿宋_GB2312" w:hAnsi="仿宋_GB2312" w:eastAsia="仿宋_GB2312" w:cs="仿宋_GB2312"/>
          <w:b/>
          <w:bCs w:val="0"/>
          <w:kern w:val="2"/>
          <w:sz w:val="32"/>
          <w:szCs w:val="32"/>
          <w:lang w:val="en-US" w:eastAsia="zh-CN" w:bidi="ar-SA"/>
        </w:rPr>
        <w:t>一是</w:t>
      </w:r>
      <w:r>
        <w:rPr>
          <w:rFonts w:hint="eastAsia" w:ascii="仿宋_GB2312" w:eastAsia="仿宋_GB2312"/>
          <w:b/>
          <w:bCs w:val="0"/>
          <w:sz w:val="32"/>
          <w:szCs w:val="32"/>
        </w:rPr>
        <w:t>积极推广在线消费纠纷解决（ODR）模式。</w:t>
      </w:r>
      <w:r>
        <w:rPr>
          <w:rFonts w:hint="eastAsia" w:ascii="仿宋_GB2312" w:eastAsia="仿宋_GB2312"/>
          <w:sz w:val="32"/>
          <w:szCs w:val="32"/>
        </w:rPr>
        <w:t>推动消费维权关口前移，促使更多消费纠纷化解在源头，提升消费者的体验感。引导民生关切、纠纷易发的重点领域企业入驻全国12315平台ODR企业投诉处理中心，持续扩大ODR企业数量，加强对企业的指导培训，督促ODR企业主动与消费者协商和解，提升企业社会责任意识和消费纠纷化解能力。</w:t>
      </w:r>
    </w:p>
    <w:p w14:paraId="6C4B0164">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rPr>
      </w:pPr>
      <w:r>
        <w:rPr>
          <w:rFonts w:hint="eastAsia" w:ascii="仿宋_GB2312" w:eastAsia="仿宋_GB2312"/>
          <w:b/>
          <w:bCs/>
          <w:sz w:val="32"/>
          <w:szCs w:val="32"/>
          <w:lang w:eastAsia="zh-CN"/>
        </w:rPr>
        <w:t>二是</w:t>
      </w:r>
      <w:r>
        <w:rPr>
          <w:rFonts w:hint="eastAsia" w:ascii="仿宋_GB2312" w:eastAsia="仿宋_GB2312"/>
          <w:b/>
          <w:bCs/>
          <w:sz w:val="32"/>
          <w:szCs w:val="32"/>
        </w:rPr>
        <w:t>开展放心消费示范创建和线下无理由退货活动。</w:t>
      </w:r>
      <w:r>
        <w:rPr>
          <w:rFonts w:hint="eastAsia" w:ascii="仿宋_GB2312" w:eastAsia="仿宋_GB2312"/>
          <w:sz w:val="32"/>
          <w:szCs w:val="32"/>
        </w:rPr>
        <w:t>围绕人民群众“吃、穿、购、行、游”等方面的消费需求，大力开展放心消费创建活动，组织推荐辖区成熟消费场所申报省级放心消费示范创建，积极引导各类经营主体增强诚信经营意识，努力营造安全放心消费环境，提振消费信心，激发消费潜力。鼓励实体店经营者主动做出无理由退货承诺，督促作出承诺的经营者建立健全内部管理制度，完善售后服务体系，努力营造放心消费、无忧消费的良好环境。</w:t>
      </w:r>
    </w:p>
    <w:p w14:paraId="21585F32">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rPr>
      </w:pPr>
      <w:r>
        <w:rPr>
          <w:rFonts w:hint="eastAsia" w:ascii="仿宋_GB2312" w:eastAsia="仿宋_GB2312"/>
          <w:b/>
          <w:bCs/>
          <w:sz w:val="32"/>
          <w:szCs w:val="32"/>
          <w:lang w:eastAsia="zh-CN"/>
        </w:rPr>
        <w:t>三是</w:t>
      </w:r>
      <w:r>
        <w:rPr>
          <w:rFonts w:hint="eastAsia" w:ascii="仿宋_GB2312" w:eastAsia="仿宋_GB2312"/>
          <w:b/>
          <w:bCs/>
          <w:sz w:val="32"/>
          <w:szCs w:val="32"/>
        </w:rPr>
        <w:t>扩宽消费投诉维权通道。</w:t>
      </w:r>
      <w:r>
        <w:rPr>
          <w:rFonts w:hint="eastAsia" w:ascii="仿宋_GB2312" w:eastAsia="仿宋_GB2312"/>
          <w:sz w:val="32"/>
          <w:szCs w:val="32"/>
        </w:rPr>
        <w:t>充分用好职责“工具箱”，善打维权“组合拳”，竭尽全力维护消费者合法权益。通过市场监管投诉举报系统、电话、邮件、信件等多种方式的整合，促成12315、12345平台热线投诉与消费维权推进的高效化对接。完善投诉举报处置工作规程，加大重点领域投诉举报处置力度，提升投诉举报处理的法治化、规范化、标准化水平。受理12315消费者投诉、举报</w:t>
      </w:r>
      <w:r>
        <w:rPr>
          <w:rFonts w:ascii="仿宋_GB2312" w:eastAsia="仿宋_GB2312"/>
          <w:sz w:val="32"/>
          <w:szCs w:val="32"/>
        </w:rPr>
        <w:t>9106</w:t>
      </w:r>
      <w:r>
        <w:rPr>
          <w:rFonts w:hint="eastAsia" w:ascii="仿宋_GB2312" w:eastAsia="仿宋_GB2312"/>
          <w:sz w:val="32"/>
          <w:szCs w:val="32"/>
        </w:rPr>
        <w:t>余件，处理12345政务服务热线转办件</w:t>
      </w:r>
      <w:r>
        <w:rPr>
          <w:rFonts w:ascii="仿宋_GB2312" w:eastAsia="仿宋_GB2312"/>
          <w:sz w:val="32"/>
          <w:szCs w:val="32"/>
        </w:rPr>
        <w:t>5255</w:t>
      </w:r>
      <w:r>
        <w:rPr>
          <w:rFonts w:hint="eastAsia" w:ascii="仿宋_GB2312" w:eastAsia="仿宋_GB2312"/>
          <w:sz w:val="32"/>
          <w:szCs w:val="32"/>
        </w:rPr>
        <w:t>件，信函件投诉举报81件。</w:t>
      </w:r>
    </w:p>
    <w:p w14:paraId="71986E1B">
      <w:pPr>
        <w:pStyle w:val="13"/>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000000" w:themeColor="text1"/>
          <w:spacing w:val="0"/>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lang w:val="en-US" w:eastAsia="zh-CN"/>
          <w14:textFill>
            <w14:solidFill>
              <w14:schemeClr w14:val="tx1"/>
            </w14:solidFill>
          </w14:textFill>
        </w:rPr>
        <w:t>（四）维秩序、顾民生，高效落实监管工作</w:t>
      </w:r>
    </w:p>
    <w:p w14:paraId="62D94C18">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一是持续加大扫黑除恶斗争工作力度。</w:t>
      </w:r>
      <w:r>
        <w:rPr>
          <w:rFonts w:hint="eastAsia" w:ascii="仿宋_GB2312" w:eastAsia="仿宋_GB2312"/>
          <w:sz w:val="32"/>
          <w:szCs w:val="32"/>
          <w:lang w:val="en-US" w:eastAsia="zh-CN"/>
        </w:rPr>
        <w:t>加大对传销、强买强卖、欺行霸市的打击力度，进一步严厉打击哄抬物价、网络黑恶违法犯罪、生产销售假冒伪劣产品等市场流通领域的违法行为，紧紧围绕部门职责，强化组织领导、健全工作机制，做到扫黑除恶工作与日常工作同研究、同部署、同推进、同落实，形成了全员行动、上下联动、齐抓共管，深入推进长效常治制度机制建设，着力推动扫黑除恶工作常态化。</w:t>
      </w:r>
    </w:p>
    <w:p w14:paraId="4547EE1F">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二是积极推进网监工作开展。</w:t>
      </w:r>
      <w:r>
        <w:rPr>
          <w:rFonts w:hint="eastAsia" w:ascii="仿宋_GB2312" w:eastAsia="仿宋_GB2312"/>
          <w:sz w:val="32"/>
          <w:szCs w:val="32"/>
          <w:lang w:val="en-US" w:eastAsia="zh-CN"/>
        </w:rPr>
        <w:t>根据省、市局网剑行动工作方案，开展了网络市场监管专项行动（铁拳行动），加强协作治理。共网上检查网站、网店1500余个次，实地检查网站、网店经营者65个次，受理网络交易和服务投诉5起。切实的做到了提高监管水平，营造良好的网络市场准入环境、竞争环境和消费环境、促进网络经济健康快速发展。</w:t>
      </w:r>
    </w:p>
    <w:p w14:paraId="1756D604">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三是加大对房地产中介机构的监管工作。</w:t>
      </w:r>
      <w:r>
        <w:rPr>
          <w:rFonts w:hint="eastAsia" w:ascii="仿宋_GB2312" w:eastAsia="仿宋_GB2312"/>
          <w:sz w:val="32"/>
          <w:szCs w:val="32"/>
          <w:lang w:val="en-US" w:eastAsia="zh-CN"/>
        </w:rPr>
        <w:t>开展房地产中介机构专项整治行动，就房地产中介机构违法违规发布存量房销售宣传广告行为及房地产中介机构无照经营行为进行了重点整治。出动执法人员80人次，出动执法车辆40次，检查房地产中介机构40余家。将房地产中介机构列入重点监管对象，加强日常巡查监管力度，坚决做到发现一起查处一起，切实维护人民群众的切身合法权益不受侵害。</w:t>
      </w:r>
    </w:p>
    <w:p w14:paraId="4FB874A4">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四是持续开展</w:t>
      </w:r>
      <w:r>
        <w:rPr>
          <w:rFonts w:hint="default" w:ascii="仿宋_GB2312" w:eastAsia="仿宋_GB2312"/>
          <w:b/>
          <w:bCs/>
          <w:sz w:val="32"/>
          <w:szCs w:val="32"/>
          <w:lang w:val="en-US" w:eastAsia="zh-CN"/>
        </w:rPr>
        <w:t>移风易俗乡风文明三年专项行动</w:t>
      </w:r>
      <w:r>
        <w:rPr>
          <w:rFonts w:hint="eastAsia" w:ascii="仿宋_GB2312" w:eastAsia="仿宋_GB2312"/>
          <w:b/>
          <w:bCs/>
          <w:sz w:val="32"/>
          <w:szCs w:val="32"/>
          <w:lang w:val="en-US" w:eastAsia="zh-CN"/>
        </w:rPr>
        <w:t>。</w:t>
      </w:r>
      <w:r>
        <w:rPr>
          <w:rFonts w:hint="eastAsia" w:ascii="仿宋_GB2312" w:eastAsia="仿宋_GB2312"/>
          <w:sz w:val="32"/>
          <w:szCs w:val="32"/>
          <w:lang w:val="en-US" w:eastAsia="zh-CN"/>
        </w:rPr>
        <w:t>深入实地向监管对象宣传移风易俗规定，发放移风易俗倡议书，加强日常监管。加大对经营婚嫁、丧葬用品等生产经营主体的监管力度，依法查处无照经营、超范围经营和利用节假日哄抬物价等违法行为，维护市场秩序，推动移风易俗改革工作再上新台阶。</w:t>
      </w:r>
      <w:r>
        <w:rPr>
          <w:rFonts w:hint="default" w:ascii="仿宋_GB2312" w:eastAsia="仿宋_GB2312"/>
          <w:sz w:val="32"/>
          <w:szCs w:val="32"/>
          <w:highlight w:val="none"/>
          <w:lang w:val="en-US" w:eastAsia="zh-CN"/>
        </w:rPr>
        <w:t>出动执法人员</w:t>
      </w: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00</w:t>
      </w:r>
      <w:r>
        <w:rPr>
          <w:rFonts w:hint="eastAsia" w:ascii="仿宋_GB2312" w:eastAsia="仿宋_GB2312"/>
          <w:sz w:val="32"/>
          <w:szCs w:val="32"/>
          <w:highlight w:val="none"/>
          <w:lang w:val="en-US" w:eastAsia="zh-CN"/>
        </w:rPr>
        <w:t>余</w:t>
      </w:r>
      <w:r>
        <w:rPr>
          <w:rFonts w:hint="default" w:ascii="仿宋_GB2312" w:eastAsia="仿宋_GB2312"/>
          <w:sz w:val="32"/>
          <w:szCs w:val="32"/>
          <w:highlight w:val="none"/>
          <w:lang w:val="en-US" w:eastAsia="zh-CN"/>
        </w:rPr>
        <w:t>人</w:t>
      </w:r>
      <w:r>
        <w:rPr>
          <w:rFonts w:hint="eastAsia" w:ascii="仿宋_GB2312" w:eastAsia="仿宋_GB2312"/>
          <w:sz w:val="32"/>
          <w:szCs w:val="32"/>
          <w:highlight w:val="none"/>
          <w:lang w:val="en-US" w:eastAsia="zh-CN"/>
        </w:rPr>
        <w:t>/</w:t>
      </w:r>
      <w:r>
        <w:rPr>
          <w:rFonts w:hint="default" w:ascii="仿宋_GB2312" w:eastAsia="仿宋_GB2312"/>
          <w:sz w:val="32"/>
          <w:szCs w:val="32"/>
          <w:highlight w:val="none"/>
          <w:lang w:val="en-US" w:eastAsia="zh-CN"/>
        </w:rPr>
        <w:t>次，检查婚嫁丧葬等用品生产经营单位</w:t>
      </w:r>
      <w:r>
        <w:rPr>
          <w:rFonts w:hint="eastAsia" w:ascii="仿宋_GB2312" w:eastAsia="仿宋_GB2312"/>
          <w:sz w:val="32"/>
          <w:szCs w:val="32"/>
          <w:highlight w:val="none"/>
          <w:lang w:val="en-US" w:eastAsia="zh-CN"/>
        </w:rPr>
        <w:t>62</w:t>
      </w:r>
      <w:r>
        <w:rPr>
          <w:rFonts w:hint="default" w:ascii="仿宋_GB2312" w:eastAsia="仿宋_GB2312"/>
          <w:sz w:val="32"/>
          <w:szCs w:val="32"/>
          <w:highlight w:val="none"/>
          <w:lang w:val="en-US" w:eastAsia="zh-CN"/>
        </w:rPr>
        <w:t>家</w:t>
      </w:r>
      <w:r>
        <w:rPr>
          <w:rFonts w:hint="eastAsia" w:ascii="仿宋_GB2312" w:eastAsia="仿宋_GB2312"/>
          <w:sz w:val="32"/>
          <w:szCs w:val="32"/>
          <w:highlight w:val="none"/>
          <w:lang w:val="en-US" w:eastAsia="zh-CN"/>
        </w:rPr>
        <w:t>/</w:t>
      </w:r>
      <w:r>
        <w:rPr>
          <w:rFonts w:hint="default" w:ascii="仿宋_GB2312" w:eastAsia="仿宋_GB2312"/>
          <w:sz w:val="32"/>
          <w:szCs w:val="32"/>
          <w:highlight w:val="none"/>
          <w:lang w:val="en-US" w:eastAsia="zh-CN"/>
        </w:rPr>
        <w:t>次，</w:t>
      </w:r>
      <w:r>
        <w:rPr>
          <w:rFonts w:hint="default" w:ascii="仿宋_GB2312" w:eastAsia="仿宋_GB2312"/>
          <w:sz w:val="32"/>
          <w:szCs w:val="32"/>
          <w:lang w:val="en-US" w:eastAsia="zh-CN"/>
        </w:rPr>
        <w:t>督促商户</w:t>
      </w:r>
      <w:r>
        <w:rPr>
          <w:rFonts w:hint="eastAsia" w:ascii="仿宋_GB2312" w:eastAsia="仿宋_GB2312"/>
          <w:sz w:val="32"/>
          <w:szCs w:val="32"/>
          <w:lang w:val="en-US" w:eastAsia="zh-CN"/>
        </w:rPr>
        <w:t>不得销售封建迷信殡葬用品</w:t>
      </w:r>
      <w:r>
        <w:rPr>
          <w:rFonts w:hint="default" w:ascii="仿宋_GB2312" w:eastAsia="仿宋_GB2312"/>
          <w:sz w:val="32"/>
          <w:szCs w:val="32"/>
          <w:lang w:val="en-US" w:eastAsia="zh-CN"/>
        </w:rPr>
        <w:t>，守法合规经营。</w:t>
      </w:r>
      <w:r>
        <w:rPr>
          <w:rFonts w:hint="eastAsia" w:ascii="仿宋_GB2312" w:eastAsia="仿宋_GB2312"/>
          <w:sz w:val="32"/>
          <w:szCs w:val="32"/>
          <w:lang w:val="en-US" w:eastAsia="zh-CN"/>
        </w:rPr>
        <w:t>采取多种宣传手段，倡导移风易俗，树立新风尚，引导广大干部群众摒弃陈规陋习，厉行勤俭节约，不大操大办、不铺张浪费、不相互攀比，自觉抵制陈规陋习、封建迷信，争做文明新风的倡导者、实践者。</w:t>
      </w:r>
    </w:p>
    <w:p w14:paraId="747D1816">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lang w:val="en-US" w:eastAsia="zh-CN"/>
        </w:rPr>
      </w:pPr>
      <w:r>
        <w:rPr>
          <w:rFonts w:hint="eastAsia" w:ascii="仿宋" w:hAnsi="仿宋" w:eastAsia="仿宋" w:cs="仿宋"/>
          <w:b/>
          <w:bCs w:val="0"/>
          <w:color w:val="000000" w:themeColor="text1"/>
          <w:sz w:val="32"/>
          <w:szCs w:val="32"/>
          <w:lang w:val="en-US" w:eastAsia="zh-CN"/>
          <w14:textFill>
            <w14:solidFill>
              <w14:schemeClr w14:val="tx1"/>
            </w14:solidFill>
          </w14:textFill>
        </w:rPr>
        <w:t>五</w:t>
      </w:r>
      <w:r>
        <w:rPr>
          <w:rFonts w:hint="eastAsia" w:ascii="仿宋" w:hAnsi="仿宋" w:eastAsia="仿宋" w:cs="仿宋"/>
          <w:b/>
          <w:bCs w:val="0"/>
          <w:color w:val="000000" w:themeColor="text1"/>
          <w:sz w:val="32"/>
          <w:szCs w:val="32"/>
          <w:lang w:eastAsia="zh-CN"/>
          <w14:textFill>
            <w14:solidFill>
              <w14:schemeClr w14:val="tx1"/>
            </w14:solidFill>
          </w14:textFill>
        </w:rPr>
        <w:t>是</w:t>
      </w:r>
      <w:r>
        <w:rPr>
          <w:rFonts w:hint="eastAsia" w:ascii="仿宋" w:hAnsi="仿宋" w:eastAsia="仿宋" w:cs="仿宋"/>
          <w:b/>
          <w:bCs w:val="0"/>
          <w:sz w:val="32"/>
          <w:szCs w:val="32"/>
          <w:lang w:val="en-US" w:eastAsia="zh-CN"/>
        </w:rPr>
        <w:t>开展</w:t>
      </w:r>
      <w:r>
        <w:rPr>
          <w:rFonts w:hint="eastAsia" w:ascii="仿宋" w:hAnsi="仿宋" w:eastAsia="仿宋" w:cs="仿宋"/>
          <w:b/>
          <w:bCs w:val="0"/>
          <w:sz w:val="32"/>
          <w:szCs w:val="32"/>
          <w:lang w:eastAsia="zh-CN"/>
        </w:rPr>
        <w:t>集贸市场计量专项整治</w:t>
      </w:r>
      <w:r>
        <w:rPr>
          <w:rFonts w:hint="eastAsia" w:ascii="仿宋" w:hAnsi="仿宋" w:eastAsia="仿宋" w:cs="仿宋"/>
          <w:b/>
          <w:bCs w:val="0"/>
          <w:color w:val="000000" w:themeColor="text1"/>
          <w:sz w:val="32"/>
          <w:szCs w:val="32"/>
          <w:lang w:eastAsia="zh-CN"/>
          <w14:textFill>
            <w14:solidFill>
              <w14:schemeClr w14:val="tx1"/>
            </w14:solidFill>
          </w14:textFill>
        </w:rPr>
        <w:t>。</w:t>
      </w:r>
      <w:r>
        <w:rPr>
          <w:rFonts w:hint="eastAsia" w:ascii="仿宋_GB2312" w:eastAsia="仿宋_GB2312"/>
          <w:sz w:val="32"/>
          <w:szCs w:val="32"/>
          <w:lang w:val="en-US" w:eastAsia="zh-CN"/>
        </w:rPr>
        <w:t>联合各分局、市计量检定站、各市场开办方对辖区集贸市场开展计量器具专项监督检查。今年累计出动执法人员796人次，检查电子计价秤2312台次，计量违法立案7起，打击了商家的违法行为，确保了计量器具的准确性和可靠性，使得市场开办方管理更加规范，商户的诚信经营意识得到明显提高。</w:t>
      </w:r>
    </w:p>
    <w:p w14:paraId="2C0A00F9">
      <w:pPr>
        <w:pStyle w:val="16"/>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textAlignment w:val="auto"/>
        <w:rPr>
          <w:rFonts w:hint="eastAsia" w:ascii="仿宋_GB2312" w:eastAsia="仿宋_GB2312"/>
          <w:sz w:val="32"/>
          <w:szCs w:val="32"/>
          <w:lang w:val="en-US" w:eastAsia="zh-CN"/>
        </w:rPr>
      </w:pPr>
      <w:r>
        <w:rPr>
          <w:rFonts w:hint="eastAsia" w:ascii="仿宋" w:hAnsi="仿宋" w:eastAsia="仿宋" w:cs="仿宋"/>
          <w:b/>
          <w:bCs w:val="0"/>
          <w:sz w:val="32"/>
          <w:szCs w:val="32"/>
          <w:lang w:val="en-US" w:eastAsia="zh-CN"/>
        </w:rPr>
        <w:t>六是持续开展眼镜制配场所计量专项整治。</w:t>
      </w:r>
      <w:r>
        <w:rPr>
          <w:rFonts w:hint="eastAsia" w:ascii="仿宋_GB2312" w:eastAsia="仿宋_GB2312"/>
          <w:sz w:val="32"/>
          <w:szCs w:val="32"/>
          <w:lang w:val="en-US" w:eastAsia="zh-CN"/>
        </w:rPr>
        <w:t>严厉打击眼镜制配环节使用不合格计量器具行为，重点检查眼镜制配场所是否按要求配备相应的计量器具（包括焦度计、验光仪、验光镜片组等），使用的强制检定计量器具是否按周期申请强制检定，是否使用未经强制检定或检定不合格的计量器具等内容。检查现场对经营户开展计量器具强制检定宣传教育活动，开展《中华人民共和国计量法》普法教育，指导企业网上预约检定，建立《眼镜制配场所计量器具台账》，共服务眼镜制配市场主体43家，检定焦度计44台、验光仪44台、验光镜片组44个，切实维护消费者合法权益，确保眼镜制配质量。</w:t>
      </w:r>
    </w:p>
    <w:p w14:paraId="766F708B">
      <w:pPr>
        <w:keepNext w:val="0"/>
        <w:keepLines w:val="0"/>
        <w:pageBreakBefore w:val="0"/>
        <w:widowControl w:val="0"/>
        <w:shd w:val="clea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（五）抓党建、强规范，深入推进全面从严治党</w:t>
      </w:r>
    </w:p>
    <w:p w14:paraId="25ADD5E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 xml:space="preserve"> 一是抓实政治理论学习。</w:t>
      </w:r>
      <w:r>
        <w:rPr>
          <w:rFonts w:hint="eastAsia" w:ascii="仿宋_GB2312" w:eastAsia="仿宋_GB2312" w:hAnsiTheme="minorHAnsi" w:cstheme="minorBidi"/>
          <w:kern w:val="2"/>
          <w:sz w:val="32"/>
          <w:szCs w:val="32"/>
          <w:lang w:val="en-US" w:eastAsia="zh-CN" w:bidi="ar-SA"/>
        </w:rPr>
        <w:t>严格落实党组理论学习中心组学习、“第一议题”制度，不折不扣贯彻落实习近平总书记重要讲话和重要指示批示精神以及上级部门作出的重大决策部署，共开展党组理论学习中心组集体学习研讨10次。</w:t>
      </w:r>
    </w:p>
    <w:p w14:paraId="66CDB17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二是抓实党纪学习教育。</w:t>
      </w:r>
      <w:r>
        <w:rPr>
          <w:rFonts w:hint="eastAsia" w:ascii="仿宋_GB2312" w:eastAsia="仿宋_GB2312" w:hAnsiTheme="minorHAnsi" w:cstheme="minorBidi"/>
          <w:kern w:val="2"/>
          <w:sz w:val="32"/>
          <w:szCs w:val="32"/>
          <w:lang w:val="en-US" w:eastAsia="zh-CN" w:bidi="ar-SA"/>
        </w:rPr>
        <w:t>坚持把学纪、知纪、明纪、守纪贯穿始终，聚焦《中国共产党纪律处分条例》真抓实学。党纪学习教育期间</w:t>
      </w:r>
      <w:r>
        <w:rPr>
          <w:rFonts w:hint="default" w:ascii="仿宋_GB2312" w:eastAsia="仿宋_GB2312" w:hAnsiTheme="minorHAnsi"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 xml:space="preserve">各党支部书记讲纪律党课14次，学习党纪警示教育案例和相关文件28次，广大党员干部纪律意识和规矩意识显著提升，全局党纪学习教育取得了明显成效。 </w:t>
      </w:r>
    </w:p>
    <w:p w14:paraId="7B4FEF4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三是抓实群众身边不正之风和腐败问题集中整治。</w:t>
      </w:r>
      <w:r>
        <w:rPr>
          <w:rFonts w:hint="eastAsia" w:ascii="仿宋_GB2312" w:eastAsia="仿宋_GB2312" w:hAnsiTheme="minorHAnsi" w:cstheme="minorBidi"/>
          <w:kern w:val="2"/>
          <w:sz w:val="32"/>
          <w:szCs w:val="32"/>
          <w:lang w:val="en-US" w:eastAsia="zh-CN" w:bidi="ar-SA"/>
        </w:rPr>
        <w:t>深刻把握“三个集中”、“一个超常规”的要求，认真贯彻落实省、市、区相关工作要求，紧紧围绕“动、查、处、改、治”五字要求和“作风正过来、形象好起来、公信力强起来”的整治目标，进一步细化工作责任、深化问题整改处置、强化行纪衔接力度。重点聚焦电动自行车安全隐患、校园食品安全突出问题、打击肉类产品违法犯罪、城镇燃气安全等领域，针对整治发现的问题，健全完善一批制度机制，争取办成一批群众可感可及民生实事，促进集中整治工作成效不断提升。</w:t>
      </w:r>
    </w:p>
    <w:p w14:paraId="7EB3F82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四是抓实行风建设行动。</w:t>
      </w:r>
      <w:r>
        <w:rPr>
          <w:rFonts w:hint="eastAsia" w:ascii="仿宋_GB2312" w:eastAsia="仿宋_GB2312" w:hAnsiTheme="minorHAnsi" w:cstheme="minorBidi"/>
          <w:kern w:val="2"/>
          <w:sz w:val="32"/>
          <w:szCs w:val="32"/>
          <w:lang w:val="en-US" w:eastAsia="zh-CN" w:bidi="ar-SA"/>
        </w:rPr>
        <w:t>持续深化开展东湖区市场监管系统行风建设三年攻坚专项行动，综合运用提醒敦促、责令整改、责任约谈、挂牌督办等多种方式，持续开展行风问题排查治理，推动问题整改落实，提升行风建设工作质效。</w:t>
      </w:r>
    </w:p>
    <w:p w14:paraId="273604F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五是抓实意识形态管理。</w:t>
      </w:r>
      <w:r>
        <w:rPr>
          <w:rFonts w:hint="eastAsia" w:ascii="仿宋_GB2312" w:eastAsia="仿宋_GB2312" w:hAnsiTheme="minorHAnsi" w:cstheme="minorBidi"/>
          <w:kern w:val="2"/>
          <w:sz w:val="32"/>
          <w:szCs w:val="32"/>
          <w:lang w:val="en-US" w:eastAsia="zh-CN" w:bidi="ar-SA"/>
        </w:rPr>
        <w:t>认真落实意识形态工作责任制，组织意识形态工作领导小组，坚持由党组书记“一把手”带头，切实履行“一岗双责”，做好“第一责任人”，班子成员各负其责，贯彻落实分管领域意识形态工作。2024年以来，共召开党组意识形态专题工作会议10次，做到意识形态与业务同研究、同安排。</w:t>
      </w:r>
    </w:p>
    <w:p w14:paraId="521AEA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themeColor="text1"/>
          <w:spacing w:val="0"/>
          <w:sz w:val="32"/>
          <w:szCs w:val="32"/>
          <w:highlight w:val="none"/>
          <w:lang w:val="en-US" w:eastAsia="zh-CN"/>
          <w14:textFill>
            <w14:solidFill>
              <w14:schemeClr w14:val="tx1"/>
            </w14:solidFill>
          </w14:textFill>
        </w:rPr>
      </w:pPr>
      <w:r>
        <w:rPr>
          <w:rFonts w:hint="eastAsia" w:ascii="黑体" w:hAnsi="黑体" w:eastAsia="黑体" w:cs="黑体"/>
          <w:b w:val="0"/>
          <w:bCs/>
          <w:color w:val="000000" w:themeColor="text1"/>
          <w:spacing w:val="0"/>
          <w:sz w:val="32"/>
          <w:szCs w:val="32"/>
          <w:highlight w:val="none"/>
          <w:lang w:val="en-US" w:eastAsia="zh-CN"/>
          <w14:textFill>
            <w14:solidFill>
              <w14:schemeClr w14:val="tx1"/>
            </w14:solidFill>
          </w14:textFill>
        </w:rPr>
        <w:t>二、2025年工作计划</w:t>
      </w:r>
    </w:p>
    <w:p w14:paraId="3D2BAABE">
      <w:pPr>
        <w:keepNext w:val="0"/>
        <w:keepLines w:val="0"/>
        <w:pageBreakBefore w:val="0"/>
        <w:widowControl/>
        <w:suppressLineNumbers w:val="0"/>
        <w:wordWrap/>
        <w:overflowPunct/>
        <w:topLinePunct w:val="0"/>
        <w:bidi w:val="0"/>
        <w:spacing w:line="560" w:lineRule="exact"/>
        <w:ind w:firstLine="640" w:firstLineChars="200"/>
        <w:jc w:val="left"/>
        <w:rPr>
          <w:rFonts w:hint="eastAsia" w:ascii="仿宋_GB2312" w:eastAsia="仿宋_GB2312" w:hAnsiTheme="minorHAnsi" w:cstheme="minorBidi"/>
          <w:kern w:val="2"/>
          <w:sz w:val="32"/>
          <w:szCs w:val="32"/>
          <w:lang w:val="en-US" w:eastAsia="zh-CN" w:bidi="ar-SA"/>
        </w:rPr>
      </w:pPr>
      <w:bookmarkStart w:id="0" w:name="_GoBack"/>
      <w:bookmarkEnd w:id="0"/>
      <w:r>
        <w:rPr>
          <w:rFonts w:hint="eastAsia" w:ascii="仿宋_GB2312" w:eastAsia="仿宋_GB2312" w:hAnsiTheme="minorHAnsi" w:cstheme="minorBidi"/>
          <w:kern w:val="2"/>
          <w:sz w:val="32"/>
          <w:szCs w:val="32"/>
          <w:lang w:val="en-US" w:eastAsia="zh-CN" w:bidi="ar-SA"/>
        </w:rPr>
        <w:t>下一步，东湖区市场监督管理局将贯彻落实党的二十大精神、</w:t>
      </w:r>
      <w:r>
        <w:rPr>
          <w:rFonts w:hint="default" w:ascii="仿宋_GB2312" w:eastAsia="仿宋_GB2312" w:hAnsiTheme="minorHAnsi" w:cstheme="minorBidi"/>
          <w:kern w:val="2"/>
          <w:sz w:val="32"/>
          <w:szCs w:val="32"/>
          <w:lang w:val="en-US" w:eastAsia="zh-CN" w:bidi="ar-SA"/>
        </w:rPr>
        <w:t>党的</w:t>
      </w:r>
      <w:r>
        <w:rPr>
          <w:rFonts w:hint="eastAsia" w:ascii="仿宋_GB2312" w:eastAsia="仿宋_GB2312" w:cstheme="minorBidi"/>
          <w:kern w:val="2"/>
          <w:sz w:val="32"/>
          <w:szCs w:val="32"/>
          <w:lang w:val="en-US" w:eastAsia="zh-CN" w:bidi="ar-SA"/>
        </w:rPr>
        <w:t>二十届三中全会精神</w:t>
      </w:r>
      <w:r>
        <w:rPr>
          <w:rFonts w:hint="eastAsia" w:ascii="仿宋_GB2312" w:eastAsia="仿宋_GB2312" w:hAnsiTheme="minorHAnsi" w:cstheme="minorBidi"/>
          <w:kern w:val="2"/>
          <w:sz w:val="32"/>
          <w:szCs w:val="32"/>
          <w:lang w:val="en-US" w:eastAsia="zh-CN" w:bidi="ar-SA"/>
        </w:rPr>
        <w:t>，聚焦“走前列、勇争先、善作为”的目标要求，围绕深入推进“五个东湖”战略目标，不断提升能力强化作风，深化改革创新机制，更加主动、更大力度、更加精准地发挥市场监管职能作用。</w:t>
      </w:r>
    </w:p>
    <w:p w14:paraId="1FA4D7CD">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（一）坚持底线思维，筑牢安全屏障</w:t>
      </w:r>
    </w:p>
    <w:p w14:paraId="033141C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高度重视“三大安全”监管工作，持续开展食品安全专项整治行动，防范化解风险隐患，进一步提升重点场所重点单位食品安全监管效能，守牢食品安全底线；不断强化“两品一械”监管力量，从严整治非法渠道购药、制售假药劣药、执业药师“挂证”、超范围经营药品等违法行为；继续巩固特种设备定检率，保持高压态势，持续推进特种设备安全专项整治三年行动，不断提升特种设备使用单位安全管理水平。</w:t>
      </w:r>
    </w:p>
    <w:p w14:paraId="412535A1">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（二）聚焦服务建设，优化营商环境</w:t>
      </w:r>
    </w:p>
    <w:p w14:paraId="6D63547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依托全省“一照通办”平台改革，探索实施“一业一证”改革，大力开展电子营业执照和电子许可证联展联用，互通互认，推动全省电子证照在各领域应用。加大窗口和企业走访的宣传力度，进一步提升“新设企业的住房公积金开户占比”、“新设企业预约银行开户占比”、“电子营业执照领取率”。</w:t>
      </w:r>
    </w:p>
    <w:p w14:paraId="0300BDD2">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（三）加强惠企宣传，</w:t>
      </w: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助推高质量发展</w:t>
      </w:r>
    </w:p>
    <w:p w14:paraId="6ECF4F9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利用消费者权益保护日、“4.26”知识产权保护日等时间节点，开展形式多样的宣传活动，确保各项惠企政策落到实处。积极开展专利成果运用转化，推进专利转化和存量专利盘活，促进更多专利惠及中小企业。持续推进质量兴区工作，积极探索建立质量评价体系，实施名牌战略，推进服务业品牌建设，服务地方经济发展。</w:t>
      </w:r>
    </w:p>
    <w:p w14:paraId="5E78B0CF">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（四）加大执法力度，维护市场秩序</w:t>
      </w:r>
    </w:p>
    <w:p w14:paraId="59F7BF93">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加大常态化扫黑除恶斗争工作力度，不断提升运用法治思维和法治方式防范打击市场流通领域黑恶势力违法犯罪的意识和能力。针对重点地区、重点行业、重点领域定期开展线索排查，及时发现涉黑涉恶线索，打早打小。高质量推进公平竞争审查制度，切实增强本地区经济活力，营造公平竞争的制度环境。</w:t>
      </w:r>
    </w:p>
    <w:p w14:paraId="508D8247">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（五）坚持党建引领，狠抓作风建设</w:t>
      </w:r>
    </w:p>
    <w:p w14:paraId="718255D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以党纪学习教育为引领，以学习和贯彻党的二十大精神、党的二十届三中全会精神为抓手，不断提高全局政治站位。持续开展警示教育工作，抓实党风廉政建设，营造风清气正的政治生态和干事创业的良好氛围，推动东湖区市场监管工作再上新台阶。</w:t>
      </w:r>
    </w:p>
    <w:p w14:paraId="23B310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 w:hAnsi="仿宋" w:eastAsia="仿宋"/>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Tahoma">
    <w:altName w:val="noto sans thai"/>
    <w:panose1 w:val="020B0604030504040204"/>
    <w:charset w:val="00"/>
    <w:family w:val="auto"/>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A45FBF"/>
    <w:multiLevelType w:val="singleLevel"/>
    <w:tmpl w:val="43A45FBF"/>
    <w:lvl w:ilvl="0" w:tentative="0">
      <w:start w:val="1"/>
      <w:numFmt w:val="decimal"/>
      <w:pStyle w:val="5"/>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0MmQ4ZjYyOGQ0ZDMyY2Y0ZjM4YzQ4YWMxZTEwODcifQ=="/>
  </w:docVars>
  <w:rsids>
    <w:rsidRoot w:val="00000000"/>
    <w:rsid w:val="00296707"/>
    <w:rsid w:val="007D6A53"/>
    <w:rsid w:val="012B4701"/>
    <w:rsid w:val="01541E88"/>
    <w:rsid w:val="0264290C"/>
    <w:rsid w:val="02E80AFB"/>
    <w:rsid w:val="02FC0103"/>
    <w:rsid w:val="03347135"/>
    <w:rsid w:val="043B10FF"/>
    <w:rsid w:val="0466617C"/>
    <w:rsid w:val="048605CC"/>
    <w:rsid w:val="04FF3EDA"/>
    <w:rsid w:val="05184F9C"/>
    <w:rsid w:val="05A6290A"/>
    <w:rsid w:val="05FE7F21"/>
    <w:rsid w:val="061340E1"/>
    <w:rsid w:val="06733183"/>
    <w:rsid w:val="07911722"/>
    <w:rsid w:val="07B471FE"/>
    <w:rsid w:val="080261BB"/>
    <w:rsid w:val="08713D58"/>
    <w:rsid w:val="088968DD"/>
    <w:rsid w:val="08B73A1E"/>
    <w:rsid w:val="08F05D16"/>
    <w:rsid w:val="0926412B"/>
    <w:rsid w:val="0A2A4E8B"/>
    <w:rsid w:val="0A79472F"/>
    <w:rsid w:val="0A8D3D36"/>
    <w:rsid w:val="0AC0235E"/>
    <w:rsid w:val="0ACE05D7"/>
    <w:rsid w:val="0AFB1D86"/>
    <w:rsid w:val="0BBF2615"/>
    <w:rsid w:val="0BE65DF4"/>
    <w:rsid w:val="0BEA58E4"/>
    <w:rsid w:val="0C590374"/>
    <w:rsid w:val="0D097FEC"/>
    <w:rsid w:val="0DEF71E2"/>
    <w:rsid w:val="0E792F4F"/>
    <w:rsid w:val="0F6634D4"/>
    <w:rsid w:val="10665CC7"/>
    <w:rsid w:val="10A731E2"/>
    <w:rsid w:val="10C61D50"/>
    <w:rsid w:val="125B4BC7"/>
    <w:rsid w:val="12D839A1"/>
    <w:rsid w:val="132E255A"/>
    <w:rsid w:val="135E2714"/>
    <w:rsid w:val="13A5694A"/>
    <w:rsid w:val="13E1581F"/>
    <w:rsid w:val="14BA1BCC"/>
    <w:rsid w:val="14DC1B42"/>
    <w:rsid w:val="15834B5D"/>
    <w:rsid w:val="169F3A4C"/>
    <w:rsid w:val="16E131E6"/>
    <w:rsid w:val="16F511B2"/>
    <w:rsid w:val="172B0B5F"/>
    <w:rsid w:val="18016469"/>
    <w:rsid w:val="18116E8A"/>
    <w:rsid w:val="189C1857"/>
    <w:rsid w:val="18EB4A4A"/>
    <w:rsid w:val="18F558C8"/>
    <w:rsid w:val="19157D18"/>
    <w:rsid w:val="19B231FF"/>
    <w:rsid w:val="1A1871CB"/>
    <w:rsid w:val="1A2554EB"/>
    <w:rsid w:val="1A27385F"/>
    <w:rsid w:val="1A352420"/>
    <w:rsid w:val="1A6240C5"/>
    <w:rsid w:val="1AC11F44"/>
    <w:rsid w:val="1B372EC9"/>
    <w:rsid w:val="1B5B5EB7"/>
    <w:rsid w:val="1C202C5C"/>
    <w:rsid w:val="1D1502E7"/>
    <w:rsid w:val="1D1C41CC"/>
    <w:rsid w:val="1D293FFA"/>
    <w:rsid w:val="1DD957B9"/>
    <w:rsid w:val="1E553409"/>
    <w:rsid w:val="1F1A5D31"/>
    <w:rsid w:val="1F5B430D"/>
    <w:rsid w:val="1F5C3FAB"/>
    <w:rsid w:val="1FB262C1"/>
    <w:rsid w:val="1FC009DE"/>
    <w:rsid w:val="205E0313"/>
    <w:rsid w:val="20E424AA"/>
    <w:rsid w:val="21CA5B44"/>
    <w:rsid w:val="238C6E29"/>
    <w:rsid w:val="24415E66"/>
    <w:rsid w:val="25112EC9"/>
    <w:rsid w:val="25587DE6"/>
    <w:rsid w:val="26034DAC"/>
    <w:rsid w:val="26834513"/>
    <w:rsid w:val="26CD578F"/>
    <w:rsid w:val="26FC19BD"/>
    <w:rsid w:val="27E46B57"/>
    <w:rsid w:val="284F6DA3"/>
    <w:rsid w:val="286B525F"/>
    <w:rsid w:val="290652EA"/>
    <w:rsid w:val="293D4E4D"/>
    <w:rsid w:val="29A50C45"/>
    <w:rsid w:val="2AD21927"/>
    <w:rsid w:val="2AD52EC4"/>
    <w:rsid w:val="2B073965"/>
    <w:rsid w:val="2B7D3C27"/>
    <w:rsid w:val="2BA2368E"/>
    <w:rsid w:val="2C901738"/>
    <w:rsid w:val="2DD12008"/>
    <w:rsid w:val="2E293BF2"/>
    <w:rsid w:val="2E5F1DFB"/>
    <w:rsid w:val="2EB628DA"/>
    <w:rsid w:val="2EBA43F7"/>
    <w:rsid w:val="306233EC"/>
    <w:rsid w:val="311A7439"/>
    <w:rsid w:val="31411253"/>
    <w:rsid w:val="31986C36"/>
    <w:rsid w:val="3242174D"/>
    <w:rsid w:val="33010C9A"/>
    <w:rsid w:val="33B8613D"/>
    <w:rsid w:val="345968B4"/>
    <w:rsid w:val="34872047"/>
    <w:rsid w:val="34B1049E"/>
    <w:rsid w:val="34C91C8B"/>
    <w:rsid w:val="350D0FEC"/>
    <w:rsid w:val="35586B6B"/>
    <w:rsid w:val="35683252"/>
    <w:rsid w:val="35D42696"/>
    <w:rsid w:val="364F79E0"/>
    <w:rsid w:val="3845787B"/>
    <w:rsid w:val="385B225C"/>
    <w:rsid w:val="38A50319"/>
    <w:rsid w:val="38C913A9"/>
    <w:rsid w:val="399B1320"/>
    <w:rsid w:val="39A22AAB"/>
    <w:rsid w:val="3A6C5593"/>
    <w:rsid w:val="3B6C3376"/>
    <w:rsid w:val="3B862684"/>
    <w:rsid w:val="3B9D5AEF"/>
    <w:rsid w:val="3D484A54"/>
    <w:rsid w:val="3D6A733F"/>
    <w:rsid w:val="3D7C1698"/>
    <w:rsid w:val="3DE2791A"/>
    <w:rsid w:val="3F8F762D"/>
    <w:rsid w:val="409018AF"/>
    <w:rsid w:val="41994793"/>
    <w:rsid w:val="42976F25"/>
    <w:rsid w:val="437159C8"/>
    <w:rsid w:val="43761230"/>
    <w:rsid w:val="47065D63"/>
    <w:rsid w:val="47260BD9"/>
    <w:rsid w:val="47730B93"/>
    <w:rsid w:val="47B16CDB"/>
    <w:rsid w:val="47C95EF1"/>
    <w:rsid w:val="47DD66CD"/>
    <w:rsid w:val="48877A3B"/>
    <w:rsid w:val="491F1A22"/>
    <w:rsid w:val="4A2E4592"/>
    <w:rsid w:val="4CBD1C7E"/>
    <w:rsid w:val="4CD432AE"/>
    <w:rsid w:val="4CE0771A"/>
    <w:rsid w:val="4D7B143F"/>
    <w:rsid w:val="4DA87D3F"/>
    <w:rsid w:val="4DD54DA5"/>
    <w:rsid w:val="4DFD2A30"/>
    <w:rsid w:val="4E6879C7"/>
    <w:rsid w:val="4E6A1991"/>
    <w:rsid w:val="4E972BF0"/>
    <w:rsid w:val="4EEF605A"/>
    <w:rsid w:val="4F155DA1"/>
    <w:rsid w:val="4F337FD5"/>
    <w:rsid w:val="4F42290E"/>
    <w:rsid w:val="4FB56F9E"/>
    <w:rsid w:val="4FB82BD0"/>
    <w:rsid w:val="50371D47"/>
    <w:rsid w:val="510D2AA8"/>
    <w:rsid w:val="512027DB"/>
    <w:rsid w:val="517C782D"/>
    <w:rsid w:val="526B3F2A"/>
    <w:rsid w:val="527A5F1B"/>
    <w:rsid w:val="52903990"/>
    <w:rsid w:val="529671F9"/>
    <w:rsid w:val="529F5CE3"/>
    <w:rsid w:val="52C92AF8"/>
    <w:rsid w:val="5618117F"/>
    <w:rsid w:val="562E2163"/>
    <w:rsid w:val="56503B63"/>
    <w:rsid w:val="566D62CB"/>
    <w:rsid w:val="56755377"/>
    <w:rsid w:val="57776ECD"/>
    <w:rsid w:val="57B81E47"/>
    <w:rsid w:val="582500D5"/>
    <w:rsid w:val="583D0117"/>
    <w:rsid w:val="58690C84"/>
    <w:rsid w:val="58A40196"/>
    <w:rsid w:val="58E10E04"/>
    <w:rsid w:val="58F033DB"/>
    <w:rsid w:val="59975966"/>
    <w:rsid w:val="5A8E6A07"/>
    <w:rsid w:val="5AAF1AD8"/>
    <w:rsid w:val="5ACB7C5C"/>
    <w:rsid w:val="5B7C2D04"/>
    <w:rsid w:val="5BE00CCF"/>
    <w:rsid w:val="5C207B33"/>
    <w:rsid w:val="5C5D798E"/>
    <w:rsid w:val="5C5E240A"/>
    <w:rsid w:val="5C8207EE"/>
    <w:rsid w:val="5CB12E81"/>
    <w:rsid w:val="5CDB3A5A"/>
    <w:rsid w:val="5E2A14F5"/>
    <w:rsid w:val="5EFE17CD"/>
    <w:rsid w:val="5F3557FE"/>
    <w:rsid w:val="5F887020"/>
    <w:rsid w:val="5FBB0035"/>
    <w:rsid w:val="6065645C"/>
    <w:rsid w:val="60C45903"/>
    <w:rsid w:val="612400C6"/>
    <w:rsid w:val="61700C15"/>
    <w:rsid w:val="61B66BA6"/>
    <w:rsid w:val="61E171F5"/>
    <w:rsid w:val="61FF766A"/>
    <w:rsid w:val="63162A84"/>
    <w:rsid w:val="63D731CD"/>
    <w:rsid w:val="64216B3E"/>
    <w:rsid w:val="647C1FC7"/>
    <w:rsid w:val="651641C9"/>
    <w:rsid w:val="65181CEF"/>
    <w:rsid w:val="6572775C"/>
    <w:rsid w:val="6578489E"/>
    <w:rsid w:val="658B0713"/>
    <w:rsid w:val="65BA2DA7"/>
    <w:rsid w:val="66756CCD"/>
    <w:rsid w:val="66805D9E"/>
    <w:rsid w:val="66AF0431"/>
    <w:rsid w:val="672B78DD"/>
    <w:rsid w:val="67AC6A81"/>
    <w:rsid w:val="67CE48E7"/>
    <w:rsid w:val="69261942"/>
    <w:rsid w:val="69407A67"/>
    <w:rsid w:val="696A4AE4"/>
    <w:rsid w:val="6979016E"/>
    <w:rsid w:val="6ACA1D64"/>
    <w:rsid w:val="6B543355"/>
    <w:rsid w:val="6D114510"/>
    <w:rsid w:val="6D977C1D"/>
    <w:rsid w:val="6DB4668F"/>
    <w:rsid w:val="6DE6692B"/>
    <w:rsid w:val="6E0E7CC6"/>
    <w:rsid w:val="6E1E3378"/>
    <w:rsid w:val="6E201C15"/>
    <w:rsid w:val="6FFB59F9"/>
    <w:rsid w:val="70C76378"/>
    <w:rsid w:val="70F91796"/>
    <w:rsid w:val="71C66442"/>
    <w:rsid w:val="71F8116B"/>
    <w:rsid w:val="725B357D"/>
    <w:rsid w:val="72620A4E"/>
    <w:rsid w:val="73467A28"/>
    <w:rsid w:val="734939BC"/>
    <w:rsid w:val="73E21A09"/>
    <w:rsid w:val="73FFBDD4"/>
    <w:rsid w:val="741C5549"/>
    <w:rsid w:val="743017D2"/>
    <w:rsid w:val="748C3B60"/>
    <w:rsid w:val="749B0247"/>
    <w:rsid w:val="74A46856"/>
    <w:rsid w:val="74F27AE5"/>
    <w:rsid w:val="75134281"/>
    <w:rsid w:val="75383CE8"/>
    <w:rsid w:val="77474A06"/>
    <w:rsid w:val="77AB254F"/>
    <w:rsid w:val="77BC29AE"/>
    <w:rsid w:val="78194988"/>
    <w:rsid w:val="78656BA2"/>
    <w:rsid w:val="794B3FEA"/>
    <w:rsid w:val="79766B8D"/>
    <w:rsid w:val="797F5A41"/>
    <w:rsid w:val="7AD41DBD"/>
    <w:rsid w:val="7B7E2DBB"/>
    <w:rsid w:val="7BB317A2"/>
    <w:rsid w:val="7BB43943"/>
    <w:rsid w:val="7BF73FB5"/>
    <w:rsid w:val="7BF74E3B"/>
    <w:rsid w:val="7C084414"/>
    <w:rsid w:val="7C2B0102"/>
    <w:rsid w:val="7C8415C1"/>
    <w:rsid w:val="7DCE6F97"/>
    <w:rsid w:val="7DD16A88"/>
    <w:rsid w:val="7E4B45BB"/>
    <w:rsid w:val="7E6416AA"/>
    <w:rsid w:val="7E8B30DA"/>
    <w:rsid w:val="7E926217"/>
    <w:rsid w:val="7EC61193"/>
    <w:rsid w:val="7EDE47E1"/>
    <w:rsid w:val="7F402117"/>
    <w:rsid w:val="7F4514DB"/>
    <w:rsid w:val="7FA12B42"/>
    <w:rsid w:val="7FBD3B16"/>
    <w:rsid w:val="FBCE490A"/>
    <w:rsid w:val="FFF70222"/>
    <w:rsid w:val="FFF70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Calibri" w:hAnsi="Calibri" w:eastAsia="方正仿宋_GBK" w:cs="Times New Roman"/>
    </w:rPr>
  </w:style>
  <w:style w:type="paragraph" w:styleId="3">
    <w:name w:val="Body Text Indent"/>
    <w:basedOn w:val="1"/>
    <w:qFormat/>
    <w:uiPriority w:val="0"/>
    <w:pPr>
      <w:ind w:firstLine="630"/>
    </w:pPr>
    <w:rPr>
      <w:rFonts w:ascii="Calibri" w:hAnsi="Calibri" w:eastAsia="宋体" w:cs="Times New Roman"/>
    </w:rPr>
  </w:style>
  <w:style w:type="paragraph" w:styleId="4">
    <w:name w:val="Plain Text"/>
    <w:basedOn w:val="1"/>
    <w:next w:val="5"/>
    <w:qFormat/>
    <w:uiPriority w:val="99"/>
    <w:pPr>
      <w:overflowPunct w:val="0"/>
      <w:topLinePunct/>
    </w:pPr>
    <w:rPr>
      <w:rFonts w:ascii="宋体" w:hAnsi="Courier New" w:eastAsia="仿宋_GB2312" w:cs="宋体"/>
      <w:szCs w:val="21"/>
    </w:rPr>
  </w:style>
  <w:style w:type="paragraph" w:styleId="5">
    <w:name w:val="List Number 5"/>
    <w:basedOn w:val="1"/>
    <w:qFormat/>
    <w:uiPriority w:val="0"/>
    <w:pPr>
      <w:numPr>
        <w:ilvl w:val="0"/>
        <w:numId w:val="1"/>
      </w:numPr>
    </w:pPr>
  </w:style>
  <w:style w:type="paragraph" w:styleId="6">
    <w:name w:val="footnote text"/>
    <w:basedOn w:val="1"/>
    <w:unhideWhenUsed/>
    <w:qFormat/>
    <w:uiPriority w:val="99"/>
    <w:pPr>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2"/>
    <w:qFormat/>
    <w:uiPriority w:val="0"/>
    <w:pPr>
      <w:ind w:firstLine="420" w:firstLineChars="100"/>
    </w:pPr>
  </w:style>
  <w:style w:type="paragraph" w:styleId="9">
    <w:name w:val="Body Text First Indent 2"/>
    <w:basedOn w:val="3"/>
    <w:next w:val="4"/>
    <w:qFormat/>
    <w:uiPriority w:val="0"/>
    <w:pPr>
      <w:spacing w:after="120"/>
      <w:ind w:left="200" w:leftChars="200" w:firstLine="420" w:firstLineChars="200"/>
    </w:pPr>
    <w:rPr>
      <w:rFonts w:ascii="Calibri" w:hAnsi="Calibri" w:eastAsia="宋体" w:cs="Times New Roman"/>
    </w:rPr>
  </w:style>
  <w:style w:type="paragraph" w:customStyle="1" w:styleId="12">
    <w:name w:val="公文正文"/>
    <w:basedOn w:val="1"/>
    <w:autoRedefine/>
    <w:qFormat/>
    <w:uiPriority w:val="0"/>
    <w:pPr>
      <w:spacing w:line="560" w:lineRule="exact"/>
      <w:ind w:firstLine="880" w:firstLineChars="200"/>
    </w:pPr>
    <w:rPr>
      <w:rFonts w:ascii="仿宋_GB2312" w:hAnsi="仿宋_GB2312" w:eastAsia="仿宋_GB2312"/>
      <w:sz w:val="32"/>
    </w:rPr>
  </w:style>
  <w:style w:type="paragraph" w:customStyle="1" w:styleId="13">
    <w:name w:val="样式 行距: 固定值 28.9 磅"/>
    <w:basedOn w:val="1"/>
    <w:qFormat/>
    <w:uiPriority w:val="99"/>
    <w:pPr>
      <w:spacing w:line="578" w:lineRule="exact"/>
    </w:pPr>
    <w:rPr>
      <w:rFonts w:ascii="Times New Roman" w:hAnsi="Times New Roman"/>
      <w:sz w:val="21"/>
    </w:rPr>
  </w:style>
  <w:style w:type="paragraph" w:customStyle="1" w:styleId="14">
    <w:name w:val="样式1"/>
    <w:basedOn w:val="1"/>
    <w:qFormat/>
    <w:uiPriority w:val="0"/>
    <w:pPr>
      <w:ind w:firstLine="602" w:firstLineChars="200"/>
    </w:pPr>
    <w:rPr>
      <w:rFonts w:ascii="仿宋" w:hAnsi="仿宋" w:eastAsia="仿宋"/>
      <w:sz w:val="30"/>
      <w:szCs w:val="30"/>
    </w:rPr>
  </w:style>
  <w:style w:type="paragraph" w:customStyle="1" w:styleId="15">
    <w:name w:val="UserStyle_0"/>
    <w:qFormat/>
    <w:uiPriority w:val="0"/>
    <w:pPr>
      <w:snapToGrid w:val="0"/>
      <w:textAlignment w:val="baseline"/>
    </w:pPr>
    <w:rPr>
      <w:rFonts w:ascii="Tahoma" w:hAnsi="Tahoma" w:eastAsia="宋体" w:cs="黑体"/>
      <w:sz w:val="22"/>
      <w:szCs w:val="22"/>
      <w:lang w:val="en-US" w:eastAsia="zh-CN" w:bidi="ar-SA"/>
    </w:rPr>
  </w:style>
  <w:style w:type="paragraph" w:styleId="16">
    <w:name w:val="List Paragraph"/>
    <w:basedOn w:val="1"/>
    <w:qFormat/>
    <w:uiPriority w:val="34"/>
    <w:pPr>
      <w:ind w:firstLine="420" w:firstLineChars="200"/>
    </w:pPr>
  </w:style>
  <w:style w:type="paragraph" w:customStyle="1" w:styleId="17">
    <w:name w:val="引用1"/>
    <w:next w:val="1"/>
    <w:qFormat/>
    <w:uiPriority w:val="0"/>
    <w:pPr>
      <w:wordWrap w:val="0"/>
      <w:spacing w:before="200" w:after="160"/>
      <w:ind w:left="864" w:right="864"/>
      <w:jc w:val="center"/>
    </w:pPr>
    <w:rPr>
      <w:rFonts w:ascii="Times New Roman" w:hAnsi="Times New Roman" w:eastAsia="宋体" w:cs="Times New Roman"/>
      <w: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10088</Words>
  <Characters>10384</Characters>
  <Lines>0</Lines>
  <Paragraphs>0</Paragraphs>
  <TotalTime>1</TotalTime>
  <ScaleCrop>false</ScaleCrop>
  <LinksUpToDate>false</LinksUpToDate>
  <CharactersWithSpaces>10435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2023-06-29T06:12:00Z</dcterms:created>
  <dc:creator>Administrator</dc:creator>
  <cp:lastModifiedBy>xcadmin</cp:lastModifiedBy>
  <cp:lastPrinted>2024-07-06T10:39:00Z</cp:lastPrinted>
  <dcterms:modified xsi:type="dcterms:W3CDTF">2025-09-16T12:04:35Z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58F30376A64343008BBC27161400CEF6_13</vt:lpwstr>
  </property>
</Properties>
</file>