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F6A22">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南昌市东湖区市场监督管理局</w:t>
      </w:r>
    </w:p>
    <w:p w14:paraId="2CDEE018">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2024年上半年工作总结和下半年工作计划</w:t>
      </w:r>
    </w:p>
    <w:p w14:paraId="404DEB7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sz w:val="32"/>
          <w:szCs w:val="32"/>
        </w:rPr>
      </w:pPr>
    </w:p>
    <w:p w14:paraId="2B819F7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年上半年，</w:t>
      </w:r>
      <w:r>
        <w:rPr>
          <w:rFonts w:hint="eastAsia" w:ascii="仿宋_GB2312" w:hAnsi="仿宋_GB2312" w:eastAsia="仿宋_GB2312" w:cs="仿宋_GB2312"/>
          <w:sz w:val="32"/>
          <w:szCs w:val="32"/>
          <w:lang w:eastAsia="zh-CN"/>
        </w:rPr>
        <w:t>南昌市东湖区</w:t>
      </w:r>
      <w:r>
        <w:rPr>
          <w:rFonts w:hint="eastAsia" w:ascii="仿宋_GB2312" w:hAnsi="仿宋_GB2312" w:eastAsia="仿宋_GB2312" w:cs="仿宋_GB2312"/>
          <w:sz w:val="32"/>
          <w:szCs w:val="32"/>
        </w:rPr>
        <w:t>市场</w:t>
      </w:r>
      <w:r>
        <w:rPr>
          <w:rFonts w:hint="eastAsia" w:ascii="仿宋_GB2312" w:hAnsi="仿宋_GB2312" w:eastAsia="仿宋_GB2312" w:cs="仿宋_GB2312"/>
          <w:sz w:val="32"/>
          <w:szCs w:val="32"/>
          <w:lang w:eastAsia="zh-CN"/>
        </w:rPr>
        <w:t>监督管理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highlight w:val="none"/>
        </w:rPr>
        <w:t>坚持</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以习近平新时代中国特色社会主义思想为指导，</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以</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党的二十大精神</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为引领</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，认真</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贯彻</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习近平</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总书记考察江西重要讲话精神，严格落实</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中央、省、市、</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区</w:t>
      </w:r>
      <w:r>
        <w:rPr>
          <w:rFonts w:hint="eastAsia" w:ascii="仿宋_GB2312" w:hAnsi="仿宋_GB2312" w:eastAsia="仿宋_GB2312" w:cs="仿宋_GB2312"/>
          <w:i w:val="0"/>
          <w:iCs w:val="0"/>
          <w:caps w:val="0"/>
          <w:color w:val="000000" w:themeColor="text1"/>
          <w:spacing w:val="0"/>
          <w:sz w:val="32"/>
          <w:szCs w:val="32"/>
          <w:shd w:val="clear" w:fill="FFFFFF"/>
          <w:lang w:val="en-US" w:eastAsia="zh-CN"/>
          <w14:textFill>
            <w14:solidFill>
              <w14:schemeClr w14:val="tx1"/>
            </w14:solidFill>
          </w14:textFill>
        </w:rPr>
        <w:t>委</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和各级市场监管部门的决策部署，以行风建设</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、集中整治市场监管领域群众身边不正之风和腐败问题</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为抓手，结合市场监管主责主业，积极主动服务企业和群众，抓实抓好营商环境提升、助企服务提质、监管效能提速、平安建设提级、民生守护提效、作风建设提标，</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扎实推进</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市场监管</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各项工作</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，为</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东湖</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经济高质量发展提供有力支撑</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sz w:val="32"/>
          <w:szCs w:val="32"/>
        </w:rPr>
        <w:t>现将主要工作情况汇报如下:</w:t>
      </w:r>
    </w:p>
    <w:p w14:paraId="0F99FB6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一、上半年工作总结</w:t>
      </w:r>
    </w:p>
    <w:p w14:paraId="5D1CA42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（一）夯实基础、守牢底线，全面提升安全监管水平</w:t>
      </w:r>
    </w:p>
    <w:p w14:paraId="6B2F0C1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一是加强食品安全监管。</w:t>
      </w:r>
      <w:r>
        <w:rPr>
          <w:rFonts w:hint="eastAsia" w:ascii="仿宋_GB2312" w:hAnsi="仿宋_GB2312" w:eastAsia="仿宋_GB2312" w:cs="仿宋_GB2312"/>
          <w:sz w:val="32"/>
          <w:szCs w:val="32"/>
          <w:lang w:val="en-US" w:eastAsia="zh-CN"/>
        </w:rPr>
        <w:t>聚焦“四个最严”要求，针对重点品种、重点领域、重点场所，有效开展校园及周边食品安全专项整治、节假日景区食品安全专项整治等行动。上半年，（执法检查情况）完成食品安全抽检482批次，占全年任务59.7%，对不合格产品依法核查处置；开展集中约谈，深化校园食堂“三防”攻坚行动，积极开展校园食品安全排查整治，印发了《东湖区校园食品安全排查整治深化行动实施方案》，组建了区工作专班，压紧压实主体责任；深入开展网络餐饮食品安全专项整治，摸排检查餐服务单位397家次，发出《责令整改通知书》8份；扎实做好食品安全风险管控，对8家生产企业和3家小作坊进行了安全生产隐患排查，发现安全隐患问题54个，责令整改11家；严厉打击食品非法添加行为，加强食品添加剂生产使用管理，检查食品经营户271家次，生产企业（小作坊）15家次，检查电商平台14家次，发现问题数11家，责令整改11家。</w:t>
      </w:r>
    </w:p>
    <w:p w14:paraId="0958FAB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二是加强“两品一械”安全监管</w:t>
      </w:r>
      <w:r>
        <w:rPr>
          <w:rFonts w:hint="eastAsia" w:ascii="仿宋_GB2312" w:hAnsi="仿宋_GB2312" w:eastAsia="仿宋_GB2312" w:cs="仿宋_GB2312"/>
          <w:sz w:val="32"/>
          <w:szCs w:val="32"/>
          <w:lang w:val="en-US" w:eastAsia="zh-CN"/>
        </w:rPr>
        <w:t>。聚焦药房、医疗机构、疫苗接种单位等重点场所，针对特殊药品、疫苗、医用防护用品、化妆品等重点产品，深入开展专项整治和监督检查。上半年，共检查75家零售药店、15余家医疗美容机构、上报不良反应监测医疗器械ADR不良事件751例，化妆品52例，完成省、市级药品抽检22批次、市级化妆品2批次，推荐化妆品标准化店13家。</w:t>
      </w:r>
    </w:p>
    <w:p w14:paraId="36E63F9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三是加强特种设备安全监管。</w:t>
      </w:r>
      <w:r>
        <w:rPr>
          <w:rFonts w:hint="eastAsia" w:ascii="仿宋_GB2312" w:hAnsi="仿宋_GB2312" w:eastAsia="仿宋_GB2312" w:cs="仿宋_GB2312"/>
          <w:sz w:val="32"/>
          <w:szCs w:val="32"/>
          <w:lang w:val="en-US" w:eastAsia="zh-CN"/>
        </w:rPr>
        <w:t>开展重点时段、重要场合设备安全大检查，组织“3·15”、“安全生产月”等专项整治及安全知识“三进”主题宣传活动。上半年，出动安全监察人</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员492人次，对164家使用单位（含气瓶充装单位2家）544台次特种设备（锅炉11、压力容器52、压力管道1、电梯439、起重机械17、场车15、大型游乐设施9台次）进行了专项安全监督检查。下达《特种设备安全监察指令书》17份，发现安全隐患31条，已整改28条，另外3条隐患（冷库用压力容器）正在整改中。立案查处1起，已做出拟处罚2万元的告知。</w:t>
      </w:r>
    </w:p>
    <w:p w14:paraId="22850922">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四是加强产品质量安全监管。</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印发《电动自行车安全隐患全链条整治行动实施方案》，成立整治工作专班，对辖区电动自行车经营户进行全覆盖监督检查；持续开展塑料污染治理、农资、消防产品等重点工业产品专项整治；推进认证认可工作，规范检验检测行为；深入开展城镇燃气安全专项整治行动，检查燃气器具销售单位36家，对1家未建立质量安全管理制度、配备质量安全总监的燃气具经营单位进行督促整改。</w:t>
      </w:r>
    </w:p>
    <w:p w14:paraId="619573D9">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（二）改进作风、刀刃向内，深入推进全面从严治党</w:t>
      </w:r>
    </w:p>
    <w:p w14:paraId="2087A2C8">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 xml:space="preserve"> </w:t>
      </w: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一是抓实政治理论学习。</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严格落实党组理论学习中心组学习、“第一议题”制度，不折不扣贯彻落实习近平总书记重要讲话和重要指示批示精神以及上级部门作出的重大决策部署。上半年共开展党组理论学习中心组集体学习研讨6次。</w:t>
      </w:r>
    </w:p>
    <w:p w14:paraId="639E5465">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二是抓实党纪学习教育。</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 xml:space="preserve">以“集中＋个人”“学习＋研讨”相结合的方式，组织引导党员领导干部对《中国共产党纪律处分条例》突出重点学、丰富形式学、深入领会学。召开作风建设工作部署会，学习各类典型案例通报，大力敲响党规党纪“警示钟”，以身边案例、身边教训警示全体党员干部慎独慎微、慎言慎行。 </w:t>
      </w:r>
    </w:p>
    <w:p w14:paraId="63652BBD">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三是抓实群众身边不正之风和腐败问题集中整治。</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以中小学校园食品安全、消费者权益保护领域等突出问题为“小切口”，结合开展“大抓落实年”活动要求，坚持问题导向，综合运用监管执法、行政监督、行纪衔接、行风整治、标本兼治等措施深入开展行政执法领域问题专项整治，全面排查群众身边不正之风和腐败问题。</w:t>
      </w:r>
    </w:p>
    <w:p w14:paraId="0C6C3312">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四是抓实行风建设行动。</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高位推进成立加强行风建设工作领导小组，紧扣优化政务服务、规范日常监督管理、推进公正文明执法、强化行风监督约束、加强队伍建设和能力提升目标任务。持续深化行风建设。</w:t>
      </w:r>
    </w:p>
    <w:p w14:paraId="6B706FE7">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五是抓实意识形态管理。</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严格落实意识形态工作责任制，深化党风廉政宣传教育，紧抓舆论导向，绷紧意识形态安全弦，加强党对意识形态工作的</w:t>
      </w:r>
      <w:bookmarkStart w:id="0" w:name="_GoBack"/>
      <w:bookmarkEnd w:id="0"/>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全面领导，确保全局不偏航偏向、不失管失控。严格执行媒体信息审核</w:t>
      </w:r>
      <w:r>
        <w:rPr>
          <w:rFonts w:hint="default"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制度</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，进一步规范我局新闻稿件的全流程和各环节管理，层层把关，排除隐患，堵住漏洞，严防内容错误引发的意识形态领域问题发生。</w:t>
      </w:r>
    </w:p>
    <w:p w14:paraId="2E42E55E">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default"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（三）优化监管、严格执法，有效规范市场秩序</w:t>
      </w:r>
    </w:p>
    <w:p w14:paraId="71580CD5">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一是全面提升行政执法能力。</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印发《东湖区市场监督管理局常态化开展行政执法人员“以考促学”工作方案》，督促行政执法人员提高认识，抓好学习自测，夯实理论基础、厚植法治素养、提升执法能力的工作实效。上半年，我局按照委托权限共立案20起，其中食品抽检核查处置案件13起，药品2起，医疗器械案件2起，质量案件1起，特种设备案件1起，计量案件1起。已办结行政处罚案件14起，罚没金额共39592.83元；移送南昌市市场监督管理局东湖稽查分局涉嫌违法案件3起，接收东湖公安分局移送商标侵权案件线索6起；处理东湖区人民政府案件行政复议28件，构筑安全良好的市场环境。</w:t>
      </w:r>
    </w:p>
    <w:p w14:paraId="228C385E">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二是开展重点领域执法检查。</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印发《南昌市东湖区市场监管局2024民生领域案件查办“铁拳”行动实施方案》，以“护民生”为中心，深入开展民生领域案件查办“铁拳”行动，严厉打击“三品一特”领域违法行为，瞄准民生领域“难点痛点”以及群众关注的热点问题，组织开展肉制品、特供酒、价格收费、计量领域等专项检查，有力有效维护了全区市场安全和消费者合法权益。</w:t>
      </w:r>
    </w:p>
    <w:p w14:paraId="57ED52CE">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三是加强反垄断和反不正当竞争工作。</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印发《南昌市东湖区2024年打击和防范传销工作方案》，加大对反不正当竞争和打击传销的宣传力度，加强商业秘密保护工作，开展常态化扫黑除恶市场流通领域突出问题排查整治，着力化解和防范市场风险，营造安全放心的消费环境。</w:t>
      </w:r>
    </w:p>
    <w:p w14:paraId="0ADF43EB">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（四）深化改革、提升服务，持续优化营商环境</w:t>
      </w:r>
    </w:p>
    <w:p w14:paraId="2E72CA7B">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一是不断优化市场主体服务。</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强化事中事后监管，持续加大惠企助企力度，整合资源支持企业发展，努力营造市场化、法治化营商环境。上半年，共完成各类经济主体设立登记2891件（其中企业设立登记767件，个体工商户设立登记2124件），注册资本达12.4亿元；办理各类经济主体变更登记 2025件（其中企业变更登记1242件，个体工商户变更登记783件）；办理注销登记2724件（其中企业注销登记760件，个体工商户注销登记1964件）；办理股权质押14件，备案登记163件；企业迁出206户，迁入126户。经济主体设立登记工作时限并由原来的2个工作日压缩为即办件。</w:t>
      </w:r>
    </w:p>
    <w:p w14:paraId="7EE7BFA9">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二是高标准完成信用监管工作。</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围绕发挥信用监管核心作用，构建从信息归集共享到信用分类监管再到失信联合惩戒的监管闭环。严格市场主体年报工作，到6月30日全区内资企业13012户，年报完成12465户，企业年报率95.80%。上半年，国家企业信用信息公示平台归集信息4641条，列入异常经营名录市场主体8家，解除企业异常名录54家。</w:t>
      </w:r>
    </w:p>
    <w:p w14:paraId="42737908">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三是整治冒用身份证乱象。</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上半年共接受群众电话咨询投诉举报3件，为从源头上防范冒用身份证骗取公司登记的违法行为，按照省市场监管的部署，我局已配合推行企业登记身份管理实名验证，引导申请人在“登记注册身份验证”APP上进行实名认证，促进诚信登记体系建设。</w:t>
      </w:r>
    </w:p>
    <w:p w14:paraId="1D1E5113">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（五）聚焦经济，着力创新，助推区域高质量发展</w:t>
      </w:r>
    </w:p>
    <w:p w14:paraId="4B432DAA">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一是深入推进知识产权战略。</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积极走访民营企业，主动掌握企业融资需求，稳步推进该项工作。年初江西远大科技有限公司获得200万元的专利质押融资贷款金额；东湖区1-3月发明专利授权量35件，同比增长29.63%；每万人有效发明专利拥有量16.43件，同比增长3.37件；一季度全区商标申请件数285件、商标注册件数292件、商标有效注册量11606件。</w:t>
      </w:r>
    </w:p>
    <w:p w14:paraId="748AC2A5">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二是深入推进质量强区建设。</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大力推进工业产品生产经营企业落实质量安全主体责任。目前已组织82家生产经营企业设立质量总监和质量安全员，组织27家单位建立了企业首席质量官制度。组织南昌建筑工程公司等企业参加市局举办的品牌故事大赛、先进质量管理典型案例等评选活动。</w:t>
      </w:r>
    </w:p>
    <w:p w14:paraId="7404EEF7">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三是深入推进标准化宣贯。</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积极推动辖区企业参与地方标准建设，引导辖区“标准化试点”示范项目建设、鼓励相关企业开展“对标达标”、“标准领跑者”工作，组织对《江西省标准化条例》进行宣贯，走访辖区南昌大学第一附属医院、南昌市第一医院、江西中科健康体检有限公司、南昌元浦自动化系统有限公司开展标准化宣传，开展企业产品与服务标准进行监督检查等。</w:t>
      </w:r>
    </w:p>
    <w:p w14:paraId="01465CCA">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（六）敢于担当、服务大局，切实增进民生福祉</w:t>
      </w:r>
    </w:p>
    <w:p w14:paraId="7A95C7C5">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一是畅通维权渠道。</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上半年，共受理12315平台投诉、举报10137余件，处理12345政务服务热线转办件5454件；二季度收到信访抄送件43份、转送件25份、交办件1份、督办件1份。</w:t>
      </w:r>
    </w:p>
    <w:p w14:paraId="799FCC95">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二是营造舆论环境。</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通过“线上+线下”相结合的方式，开展主题宣讲、消费维权宣传咨询、食品安全现场快速检测、电子屏播放宣传片等内容，将消费维权进商场、进市场、进企业、进超市、进景区“五进”活动延伸至群众日常生活场所。抓住“3•15”消费者权益日等重点宣传节点，强化对经营者诚信教育，引导广大消费者合理、科学消费。</w:t>
      </w:r>
    </w:p>
    <w:p w14:paraId="420ED02F">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三是示范创建引领。</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加大放心消费示范创建单位、线下无理由退货单位的培育力度。发展放心消费承诺单位30家、线下无理由退货承诺经营主体61家、发展ODR企业14家。</w:t>
      </w:r>
    </w:p>
    <w:p w14:paraId="5EC279DB">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0" w:firstLineChars="200"/>
        <w:textAlignment w:val="auto"/>
        <w:rPr>
          <w:rFonts w:hint="eastAsia" w:ascii="黑体" w:hAnsi="黑体" w:eastAsia="黑体" w:cs="黑体"/>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黑体" w:hAnsi="黑体" w:eastAsia="黑体" w:cs="黑体"/>
          <w:i w:val="0"/>
          <w:iCs w:val="0"/>
          <w:caps w:val="0"/>
          <w:color w:val="000000" w:themeColor="text1"/>
          <w:spacing w:val="0"/>
          <w:kern w:val="2"/>
          <w:sz w:val="32"/>
          <w:szCs w:val="32"/>
          <w:shd w:val="clear" w:fill="FFFFFF"/>
          <w:lang w:val="en-US" w:eastAsia="zh-CN" w:bidi="ar-SA"/>
          <w14:textFill>
            <w14:solidFill>
              <w14:schemeClr w14:val="tx1"/>
            </w14:solidFill>
          </w14:textFill>
        </w:rPr>
        <w:t>二、存在问题制约及不足</w:t>
      </w:r>
    </w:p>
    <w:p w14:paraId="6C077914">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上半年，全区市场监管领域工作取得了良好成效，较好的完成了各项目标任务，但还存在一些问题和不足。</w:t>
      </w:r>
    </w:p>
    <w:p w14:paraId="4BEBF5E1">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一是市场监管力量有待加强。</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当前新兴产业发展带来新的风险隐患和监管难题，基层市场监管部门人员结构老化，面对食品药品、特种设备、标准计量等专业性工作，专业人才匮乏，监管效能需要进一步提升。</w:t>
      </w:r>
    </w:p>
    <w:p w14:paraId="59CF6143">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二是恶意职业打假现象日趋增加。</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职业打假人滥用投诉举报、信息公开、问政江西、复议诉讼等权利，严重影响经营主体正常生产经营活动，造成相关核查处理工作大量增多，严重挤占行政资源和司法资源。</w:t>
      </w:r>
    </w:p>
    <w:p w14:paraId="14A06B36">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0" w:firstLineChars="200"/>
        <w:textAlignment w:val="auto"/>
        <w:rPr>
          <w:rFonts w:hint="eastAsia" w:ascii="黑体" w:hAnsi="黑体" w:eastAsia="黑体" w:cs="黑体"/>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黑体" w:hAnsi="黑体" w:eastAsia="黑体" w:cs="黑体"/>
          <w:i w:val="0"/>
          <w:iCs w:val="0"/>
          <w:caps w:val="0"/>
          <w:color w:val="000000" w:themeColor="text1"/>
          <w:spacing w:val="0"/>
          <w:kern w:val="2"/>
          <w:sz w:val="32"/>
          <w:szCs w:val="32"/>
          <w:shd w:val="clear" w:fill="FFFFFF"/>
          <w:lang w:val="en-US" w:eastAsia="zh-CN" w:bidi="ar-SA"/>
          <w14:textFill>
            <w14:solidFill>
              <w14:schemeClr w14:val="tx1"/>
            </w14:solidFill>
          </w14:textFill>
        </w:rPr>
        <w:t>三、面临的形式及机遇分析</w:t>
      </w:r>
    </w:p>
    <w:p w14:paraId="04D9F03B">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（一）监管理念与市场变化不相适应。</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当前数字经济迅猛发展，市场网络监管面临新形势、新任务、新挑战。现行传统监管模式与思路已不能满足当前需要，监管能力跟不上市场变化节奏，导致发现和解决问题相对滞后。</w:t>
      </w:r>
    </w:p>
    <w:p w14:paraId="307521CC">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（二）监管职能和监管力量不相匹配。</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机构改革后，市场监管部门做到了一支队伍管市场、一次检查多领域，打通了部门隔阂，提升了执法效能。但随之带来的职能众多、监管力量不足等问题也逐渐浮现。</w:t>
      </w:r>
    </w:p>
    <w:p w14:paraId="4F659AF5">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0" w:firstLineChars="200"/>
        <w:textAlignment w:val="auto"/>
        <w:rPr>
          <w:rFonts w:hint="eastAsia" w:ascii="黑体" w:hAnsi="黑体" w:eastAsia="黑体" w:cs="黑体"/>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黑体" w:hAnsi="黑体" w:eastAsia="黑体" w:cs="黑体"/>
          <w:i w:val="0"/>
          <w:iCs w:val="0"/>
          <w:caps w:val="0"/>
          <w:color w:val="000000" w:themeColor="text1"/>
          <w:spacing w:val="0"/>
          <w:kern w:val="2"/>
          <w:sz w:val="32"/>
          <w:szCs w:val="32"/>
          <w:shd w:val="clear" w:fill="FFFFFF"/>
          <w:lang w:val="en-US" w:eastAsia="zh-CN" w:bidi="ar-SA"/>
          <w14:textFill>
            <w14:solidFill>
              <w14:schemeClr w14:val="tx1"/>
            </w14:solidFill>
          </w14:textFill>
        </w:rPr>
        <w:t>四、下半年工作计划</w:t>
      </w:r>
    </w:p>
    <w:p w14:paraId="114DD201">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（一）着力强化安全监管。</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一是加大安全隐患排查力度。强化日常监管、巩固有效措施、加强宣传教育，以民生领域案件查办“铁拳行动”为抓手，围绕民生痛点、难点，全面开展线索摸排，千方百计防范化解市场监管领域各类安全风险隐患。二是抓好重大风险防范。对重点时段、重点领域，群众关注度高、与民生密切相关的电动自行车、燃气生产、气瓶充装和检验、燃气压力管道等重点产品、特种设备全面开展安全隐患排查，切实保障群众财产安全。三是坚持“四个最严”要求,突出“一老一小”重点人群，城乡结合部、农村、专业市场等重点区域、重点场所，开展校园食品安全排查、打击肉类产品违法犯罪等食品安全攻坚行动，严厉打击食品安全违法行为。四是从严整治非法渠道购药、制售假药劣药、执业药师“挂证”、超范围经营药品等违法行为。</w:t>
      </w:r>
    </w:p>
    <w:p w14:paraId="009838E7">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（二）着力维护市场秩序。</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一是加大重点领域执法力度。强化行刑衔接，力争在查办案件上有新的突破。二是全面落实公平竞争审查制度。继续开展妨碍统一市场和公平竞争政策措施清理工作，严厉查处滥用市场支配地位损害公平竞争秩序行为，加强涉企收费整治和垄断行业价格监管。三是强化消费维权，持续建立和完善12315消费维权体系和机制，畅通12315、12345热线及各类平台投诉举报渠道，加强部门协同，为消费者提供高效、便捷维权服务。</w:t>
      </w:r>
    </w:p>
    <w:p w14:paraId="720B80D0">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（三）着力优化营商环境。</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一是进一步推进“双随机、一公开”监管。重点开展跨部门“双随机、一公开”监管工作，全力推进部门涉企信息归集，最大限度减少对企业正常生产经营活动干扰。同时做好市场主体年报工作。二是加大知识产权工作力度。积极推进知识产权质押融资，加强企业发明专利培育力度。加强与企业联系，靠上服务，同时以高新技术企业、专精特新企业、科技型企业等为重点，组织企业开展专利产品备案工作。三是突出质量支撑、标准引领。引导企业通过制定标准、加强品牌建设、提升产品质量、提高产品附加值等方式，健康发展、做大做强。</w:t>
      </w:r>
    </w:p>
    <w:p w14:paraId="4F308A4B">
      <w:pPr>
        <w:pStyle w:val="11"/>
        <w:keepNext w:val="0"/>
        <w:keepLines w:val="0"/>
        <w:pageBreakBefore w:val="0"/>
        <w:numPr>
          <w:ilvl w:val="0"/>
          <w:numId w:val="0"/>
        </w:numPr>
        <w:tabs>
          <w:tab w:val="left" w:pos="1418"/>
        </w:tabs>
        <w:kinsoku/>
        <w:wordWrap/>
        <w:overflowPunct/>
        <w:topLinePunct w:val="0"/>
        <w:autoSpaceDE/>
        <w:autoSpaceDN/>
        <w:bidi w:val="0"/>
        <w:spacing w:line="600" w:lineRule="exact"/>
        <w:ind w:firstLine="643" w:firstLineChars="200"/>
        <w:textAlignment w:val="auto"/>
        <w:rPr>
          <w:rFonts w:hint="default"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kern w:val="2"/>
          <w:sz w:val="32"/>
          <w:szCs w:val="32"/>
          <w:shd w:val="clear" w:fill="FFFFFF"/>
          <w:lang w:val="en-US" w:eastAsia="zh-CN" w:bidi="ar-SA"/>
          <w14:textFill>
            <w14:solidFill>
              <w14:schemeClr w14:val="tx1"/>
            </w14:solidFill>
          </w14:textFill>
        </w:rPr>
        <w:t>（四）着力加强执法队伍建设。</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一是坚持廉洁从政。严格落实党风廉政建设责任，认真履行“一岗双责”，带头贯彻执行中央八项规定精神和中央省市区委工作部署。二是坚持依法行政。大力弘扬“严真细实快”工作作风，聚焦“走在前、勇争先、善作为”目标要求，扎实推进基层监管所标准化规范化建设。三是狠抓行风建设。持续加强群众身边不正之风和腐败问题集中整治，强化正面激励和反面警示作用，锤炼务实作风，打造一支过硬的市场监管队伍。</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zMGVhNGJlYTJjOWJlNGIzMmFhZWQyZDhlMWQ5ZjgifQ=="/>
  </w:docVars>
  <w:rsids>
    <w:rsidRoot w:val="00000000"/>
    <w:rsid w:val="00296707"/>
    <w:rsid w:val="007D6A53"/>
    <w:rsid w:val="01541E88"/>
    <w:rsid w:val="02E80AFB"/>
    <w:rsid w:val="02FC0103"/>
    <w:rsid w:val="03347135"/>
    <w:rsid w:val="043B10FF"/>
    <w:rsid w:val="0466617C"/>
    <w:rsid w:val="05184F9C"/>
    <w:rsid w:val="05A6290A"/>
    <w:rsid w:val="05FE7F21"/>
    <w:rsid w:val="07911722"/>
    <w:rsid w:val="08713D58"/>
    <w:rsid w:val="088968DD"/>
    <w:rsid w:val="08F05D16"/>
    <w:rsid w:val="0926412B"/>
    <w:rsid w:val="0A2A4E8B"/>
    <w:rsid w:val="0A79472F"/>
    <w:rsid w:val="0A8D3D36"/>
    <w:rsid w:val="0AC0235E"/>
    <w:rsid w:val="0ACE05D7"/>
    <w:rsid w:val="0AFB1D86"/>
    <w:rsid w:val="0BBF2615"/>
    <w:rsid w:val="0BEA58E4"/>
    <w:rsid w:val="0D097FEC"/>
    <w:rsid w:val="0DEF71E2"/>
    <w:rsid w:val="10665CC7"/>
    <w:rsid w:val="10A731E2"/>
    <w:rsid w:val="132E255A"/>
    <w:rsid w:val="135E2714"/>
    <w:rsid w:val="13A5694A"/>
    <w:rsid w:val="14DC1B42"/>
    <w:rsid w:val="169F3A4C"/>
    <w:rsid w:val="16F511B2"/>
    <w:rsid w:val="172B0B5F"/>
    <w:rsid w:val="18116E8A"/>
    <w:rsid w:val="189C1857"/>
    <w:rsid w:val="18EB4A4A"/>
    <w:rsid w:val="18F558C8"/>
    <w:rsid w:val="19157D18"/>
    <w:rsid w:val="19B231FF"/>
    <w:rsid w:val="1A27385F"/>
    <w:rsid w:val="1A352420"/>
    <w:rsid w:val="1A6240C5"/>
    <w:rsid w:val="1AC11F44"/>
    <w:rsid w:val="1B372EC9"/>
    <w:rsid w:val="1B5B5EB7"/>
    <w:rsid w:val="1D1502E7"/>
    <w:rsid w:val="1E553409"/>
    <w:rsid w:val="1F5B430D"/>
    <w:rsid w:val="1FB262C1"/>
    <w:rsid w:val="20E424AA"/>
    <w:rsid w:val="238C6E29"/>
    <w:rsid w:val="25587DE6"/>
    <w:rsid w:val="26034DAC"/>
    <w:rsid w:val="26834513"/>
    <w:rsid w:val="26CD578F"/>
    <w:rsid w:val="284F6DA3"/>
    <w:rsid w:val="286B525F"/>
    <w:rsid w:val="290652EA"/>
    <w:rsid w:val="293D4E4D"/>
    <w:rsid w:val="29A50C45"/>
    <w:rsid w:val="2AD21927"/>
    <w:rsid w:val="2B073965"/>
    <w:rsid w:val="2B7D3C27"/>
    <w:rsid w:val="2BA2368E"/>
    <w:rsid w:val="2C901738"/>
    <w:rsid w:val="2DD12008"/>
    <w:rsid w:val="2E293BF2"/>
    <w:rsid w:val="2E5F1DFB"/>
    <w:rsid w:val="2EB628DA"/>
    <w:rsid w:val="2EBA43F7"/>
    <w:rsid w:val="306233EC"/>
    <w:rsid w:val="31411253"/>
    <w:rsid w:val="3242174D"/>
    <w:rsid w:val="33010C9A"/>
    <w:rsid w:val="33B8613D"/>
    <w:rsid w:val="345968B4"/>
    <w:rsid w:val="34872047"/>
    <w:rsid w:val="350D0FEC"/>
    <w:rsid w:val="35586B6B"/>
    <w:rsid w:val="35683252"/>
    <w:rsid w:val="35D42696"/>
    <w:rsid w:val="364F79E0"/>
    <w:rsid w:val="3845787B"/>
    <w:rsid w:val="38A50319"/>
    <w:rsid w:val="39A22AAB"/>
    <w:rsid w:val="3A6C5593"/>
    <w:rsid w:val="3B6C3376"/>
    <w:rsid w:val="3B862684"/>
    <w:rsid w:val="3B9D5AEF"/>
    <w:rsid w:val="3D484A54"/>
    <w:rsid w:val="3D7C1698"/>
    <w:rsid w:val="3DE2791A"/>
    <w:rsid w:val="3F8F762D"/>
    <w:rsid w:val="409018AF"/>
    <w:rsid w:val="41994793"/>
    <w:rsid w:val="42976F25"/>
    <w:rsid w:val="437159C8"/>
    <w:rsid w:val="43761230"/>
    <w:rsid w:val="47065D63"/>
    <w:rsid w:val="47260BD9"/>
    <w:rsid w:val="47B16CDB"/>
    <w:rsid w:val="47C95EF1"/>
    <w:rsid w:val="47DD66CD"/>
    <w:rsid w:val="48877A3B"/>
    <w:rsid w:val="491F1A22"/>
    <w:rsid w:val="4CBD1C7E"/>
    <w:rsid w:val="4CE0771A"/>
    <w:rsid w:val="4DD54DA5"/>
    <w:rsid w:val="4DFD2A30"/>
    <w:rsid w:val="4E6879C7"/>
    <w:rsid w:val="4EEF605A"/>
    <w:rsid w:val="4F42290E"/>
    <w:rsid w:val="4FB56F9E"/>
    <w:rsid w:val="4FB82BD0"/>
    <w:rsid w:val="510D2AA8"/>
    <w:rsid w:val="512027DB"/>
    <w:rsid w:val="517C782D"/>
    <w:rsid w:val="527A5F1B"/>
    <w:rsid w:val="529F5CE3"/>
    <w:rsid w:val="5618117F"/>
    <w:rsid w:val="56503B63"/>
    <w:rsid w:val="56755377"/>
    <w:rsid w:val="57776ECD"/>
    <w:rsid w:val="583D0117"/>
    <w:rsid w:val="58690C84"/>
    <w:rsid w:val="58A40196"/>
    <w:rsid w:val="58E10E04"/>
    <w:rsid w:val="58F033DB"/>
    <w:rsid w:val="59975966"/>
    <w:rsid w:val="5A8E6A07"/>
    <w:rsid w:val="5BE00CCF"/>
    <w:rsid w:val="5C5D798E"/>
    <w:rsid w:val="5C5E240A"/>
    <w:rsid w:val="5CB12E81"/>
    <w:rsid w:val="5CDB3A5A"/>
    <w:rsid w:val="5E2A14F5"/>
    <w:rsid w:val="5F887020"/>
    <w:rsid w:val="5FBB0035"/>
    <w:rsid w:val="6065645C"/>
    <w:rsid w:val="61700C15"/>
    <w:rsid w:val="61B66BA6"/>
    <w:rsid w:val="63D731CD"/>
    <w:rsid w:val="64216B3E"/>
    <w:rsid w:val="647C1FC7"/>
    <w:rsid w:val="651641C9"/>
    <w:rsid w:val="65181CEF"/>
    <w:rsid w:val="6572775C"/>
    <w:rsid w:val="6578489E"/>
    <w:rsid w:val="658B0713"/>
    <w:rsid w:val="65BA2DA7"/>
    <w:rsid w:val="66756CCD"/>
    <w:rsid w:val="66805D9E"/>
    <w:rsid w:val="66AF0431"/>
    <w:rsid w:val="672B78DD"/>
    <w:rsid w:val="67AC6A81"/>
    <w:rsid w:val="67CE48E7"/>
    <w:rsid w:val="69261942"/>
    <w:rsid w:val="69407A67"/>
    <w:rsid w:val="696A4AE4"/>
    <w:rsid w:val="6979016E"/>
    <w:rsid w:val="6ACA1D64"/>
    <w:rsid w:val="6B543355"/>
    <w:rsid w:val="6D114510"/>
    <w:rsid w:val="6DB4668F"/>
    <w:rsid w:val="6DE6692B"/>
    <w:rsid w:val="6E0E7CC6"/>
    <w:rsid w:val="6E201C15"/>
    <w:rsid w:val="70C76378"/>
    <w:rsid w:val="70F91796"/>
    <w:rsid w:val="725B357D"/>
    <w:rsid w:val="72620A4E"/>
    <w:rsid w:val="73467A28"/>
    <w:rsid w:val="734939BC"/>
    <w:rsid w:val="748C3B60"/>
    <w:rsid w:val="75134281"/>
    <w:rsid w:val="769015F7"/>
    <w:rsid w:val="77AB254F"/>
    <w:rsid w:val="77BC29AE"/>
    <w:rsid w:val="78194988"/>
    <w:rsid w:val="78656BA2"/>
    <w:rsid w:val="794B3FEA"/>
    <w:rsid w:val="79766B8D"/>
    <w:rsid w:val="7AD41DBD"/>
    <w:rsid w:val="7B7E2DBB"/>
    <w:rsid w:val="7BB43943"/>
    <w:rsid w:val="7BF73FB5"/>
    <w:rsid w:val="7BF74E3B"/>
    <w:rsid w:val="7C084414"/>
    <w:rsid w:val="7C2B0102"/>
    <w:rsid w:val="7DCE6F97"/>
    <w:rsid w:val="7DD16A88"/>
    <w:rsid w:val="7E6416AA"/>
    <w:rsid w:val="7E8B30DA"/>
    <w:rsid w:val="7E926217"/>
    <w:rsid w:val="7ED450CE"/>
    <w:rsid w:val="7F451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rPr>
      <w:rFonts w:ascii="Calibri" w:hAnsi="Calibri" w:eastAsia="方正仿宋_GBK" w:cs="Times New Roman"/>
    </w:rPr>
  </w:style>
  <w:style w:type="paragraph" w:styleId="3">
    <w:name w:val="footnote text"/>
    <w:basedOn w:val="1"/>
    <w:unhideWhenUsed/>
    <w:qFormat/>
    <w:uiPriority w:val="99"/>
    <w:pPr>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w:basedOn w:val="2"/>
    <w:qFormat/>
    <w:uiPriority w:val="0"/>
    <w:pPr>
      <w:ind w:firstLine="420" w:firstLineChars="100"/>
    </w:pPr>
  </w:style>
  <w:style w:type="paragraph" w:customStyle="1" w:styleId="8">
    <w:name w:val="样式 行距: 固定值 28.9 磅"/>
    <w:basedOn w:val="1"/>
    <w:qFormat/>
    <w:uiPriority w:val="99"/>
    <w:pPr>
      <w:spacing w:line="578" w:lineRule="exact"/>
    </w:pPr>
    <w:rPr>
      <w:rFonts w:ascii="Times New Roman" w:hAnsi="Times New Roman"/>
      <w:sz w:val="21"/>
    </w:rPr>
  </w:style>
  <w:style w:type="paragraph" w:customStyle="1" w:styleId="9">
    <w:name w:val="样式1"/>
    <w:basedOn w:val="1"/>
    <w:qFormat/>
    <w:uiPriority w:val="0"/>
    <w:pPr>
      <w:ind w:firstLine="602" w:firstLineChars="200"/>
    </w:pPr>
    <w:rPr>
      <w:rFonts w:ascii="仿宋" w:hAnsi="仿宋" w:eastAsia="仿宋"/>
      <w:sz w:val="30"/>
      <w:szCs w:val="30"/>
    </w:rPr>
  </w:style>
  <w:style w:type="paragraph" w:customStyle="1" w:styleId="10">
    <w:name w:val="UserStyle_0"/>
    <w:qFormat/>
    <w:uiPriority w:val="0"/>
    <w:pPr>
      <w:snapToGrid w:val="0"/>
      <w:textAlignment w:val="baseline"/>
    </w:pPr>
    <w:rPr>
      <w:rFonts w:ascii="Tahoma" w:hAnsi="Tahoma" w:eastAsia="宋体" w:cs="黑体"/>
      <w:sz w:val="22"/>
      <w:szCs w:val="22"/>
      <w:lang w:val="en-US" w:eastAsia="zh-CN" w:bidi="ar-SA"/>
    </w:rPr>
  </w:style>
  <w:style w:type="paragraph" w:styleId="11">
    <w:name w:val="List Paragraph"/>
    <w:basedOn w:val="1"/>
    <w:qFormat/>
    <w:uiPriority w:val="34"/>
    <w:pPr>
      <w:ind w:firstLine="420" w:firstLineChars="200"/>
    </w:pPr>
  </w:style>
  <w:style w:type="paragraph" w:customStyle="1" w:styleId="12">
    <w:name w:val="引用1"/>
    <w:next w:val="1"/>
    <w:qFormat/>
    <w:uiPriority w:val="0"/>
    <w:pPr>
      <w:wordWrap w:val="0"/>
      <w:spacing w:before="200" w:after="160"/>
      <w:ind w:left="864" w:right="864"/>
      <w:jc w:val="center"/>
    </w:pPr>
    <w:rPr>
      <w:rFonts w:ascii="Times New Roman" w:hAnsi="Times New Roman" w:eastAsia="宋体" w:cs="Times New Roman"/>
      <w:i/>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3046</Words>
  <Characters>3165</Characters>
  <Lines>0</Lines>
  <Paragraphs>0</Paragraphs>
  <TotalTime>13</TotalTime>
  <ScaleCrop>false</ScaleCrop>
  <LinksUpToDate>false</LinksUpToDate>
  <CharactersWithSpaces>3168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2023-06-28T06:12:00Z</dcterms:created>
  <dc:creator>Administrator</dc:creator>
  <cp:lastModifiedBy>LENOVO</cp:lastModifiedBy>
  <cp:lastPrinted>2024-07-05T10:39:00Z</cp:lastPrinted>
  <dcterms:modified xsi:type="dcterms:W3CDTF">2024-12-02T01:36:35Z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5747A6B7BDB5488F8827113885782E2F_13</vt:lpwstr>
  </property>
</Properties>
</file>