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1C39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ascii="CESI黑体-GB2312" w:hAnsi="CESI黑体-GB2312" w:eastAsia="CESI黑体-GB2312" w:cs="CESI黑体-GB2312"/>
          <w:sz w:val="32"/>
          <w:szCs w:val="32"/>
        </w:rPr>
        <w:t>附件1</w:t>
      </w:r>
    </w:p>
    <w:p w14:paraId="4B812C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南昌市东湖区市场监督管理</w:t>
      </w:r>
      <w:r>
        <w:rPr>
          <w:rFonts w:hint="eastAsia" w:ascii="方正小标宋简体" w:hAnsi="方正小标宋简体" w:eastAsia="方正小标宋简体" w:cs="方正小标宋简体"/>
          <w:sz w:val="44"/>
          <w:szCs w:val="44"/>
          <w:lang w:eastAsia="zh-CN"/>
        </w:rPr>
        <w:t>局</w:t>
      </w:r>
    </w:p>
    <w:p w14:paraId="380DB3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2025年法治</w:t>
      </w:r>
      <w:r>
        <w:rPr>
          <w:rFonts w:hint="eastAsia" w:ascii="方正小标宋简体" w:hAnsi="方正小标宋简体" w:eastAsia="方正小标宋简体" w:cs="方正小标宋简体"/>
          <w:sz w:val="44"/>
          <w:szCs w:val="44"/>
          <w:lang w:val="en-US" w:eastAsia="zh-CN"/>
        </w:rPr>
        <w:t>政府</w:t>
      </w:r>
      <w:r>
        <w:rPr>
          <w:rFonts w:hint="eastAsia" w:ascii="方正小标宋简体" w:hAnsi="方正小标宋简体" w:eastAsia="方正小标宋简体" w:cs="方正小标宋简体"/>
          <w:sz w:val="44"/>
          <w:szCs w:val="44"/>
        </w:rPr>
        <w:t>建设</w:t>
      </w:r>
      <w:r>
        <w:rPr>
          <w:rFonts w:hint="eastAsia" w:ascii="方正小标宋简体" w:hAnsi="方正小标宋简体" w:eastAsia="方正小标宋简体" w:cs="方正小标宋简体"/>
          <w:sz w:val="44"/>
          <w:szCs w:val="44"/>
          <w:lang w:val="en-US" w:eastAsia="zh-CN"/>
        </w:rPr>
        <w:t>年度</w:t>
      </w:r>
      <w:r>
        <w:rPr>
          <w:rFonts w:hint="eastAsia" w:ascii="方正小标宋简体" w:hAnsi="方正小标宋简体" w:eastAsia="方正小标宋简体" w:cs="方正小标宋简体"/>
          <w:sz w:val="44"/>
          <w:szCs w:val="44"/>
        </w:rPr>
        <w:t>报告</w:t>
      </w:r>
    </w:p>
    <w:p w14:paraId="64E2C344">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14:paraId="24EB6D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委员会：</w:t>
      </w:r>
    </w:p>
    <w:p w14:paraId="565EA8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局坚持以习近平新时代中国特色社会主义思想为指导，全面贯彻落实党的二十大和二十届二中、三中、四中全会精神，深入学习贯彻习近平法治思想和习近平总书记考察江西重要讲话精神。对照区委全面依法治区委员会2025年工作要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现将我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2025年法治</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建设工作报告</w:t>
      </w:r>
      <w:r>
        <w:rPr>
          <w:rFonts w:hint="eastAsia" w:ascii="仿宋_GB2312" w:hAnsi="仿宋_GB2312" w:eastAsia="仿宋_GB2312" w:cs="仿宋_GB2312"/>
          <w:sz w:val="32"/>
          <w:szCs w:val="32"/>
          <w:lang w:eastAsia="zh-CN"/>
        </w:rPr>
        <w:t>如</w:t>
      </w:r>
      <w:r>
        <w:rPr>
          <w:rFonts w:hint="eastAsia" w:ascii="仿宋_GB2312" w:hAnsi="仿宋_GB2312" w:eastAsia="仿宋_GB2312" w:cs="仿宋_GB2312"/>
          <w:sz w:val="32"/>
          <w:szCs w:val="32"/>
        </w:rPr>
        <w:t>下。</w:t>
      </w:r>
    </w:p>
    <w:p w14:paraId="28B435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lang w:val="en-US" w:eastAsia="zh-CN"/>
        </w:rPr>
        <w:t>一、主要工作情况及成效</w:t>
      </w:r>
    </w:p>
    <w:p w14:paraId="59D9BF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（一）推进法治建设工作主要做法</w:t>
      </w:r>
    </w:p>
    <w:p w14:paraId="0E05EE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1.学习贯彻习近平法治思想。</w:t>
      </w:r>
      <w:r>
        <w:rPr>
          <w:rFonts w:hint="eastAsia" w:ascii="仿宋_GB2312" w:hAnsi="仿宋_GB2312" w:eastAsia="仿宋_GB2312" w:cs="仿宋_GB2312"/>
          <w:sz w:val="32"/>
          <w:szCs w:val="32"/>
          <w:lang w:val="en-US" w:eastAsia="zh-CN"/>
        </w:rPr>
        <w:t>我局按照相关</w:t>
      </w:r>
      <w:r>
        <w:rPr>
          <w:rFonts w:hint="eastAsia" w:ascii="仿宋_GB2312" w:hAnsi="仿宋_GB2312" w:eastAsia="仿宋_GB2312" w:cs="仿宋_GB2312"/>
          <w:sz w:val="32"/>
          <w:szCs w:val="32"/>
        </w:rPr>
        <w:t>学习要求，结合本单位实际，制定年度学习计划。</w:t>
      </w:r>
      <w:r>
        <w:rPr>
          <w:rFonts w:hint="eastAsia" w:ascii="仿宋_GB2312" w:hAnsi="仿宋_GB2312" w:eastAsia="仿宋_GB2312" w:cs="仿宋_GB2312"/>
          <w:sz w:val="32"/>
          <w:szCs w:val="32"/>
          <w:lang w:val="en-US" w:eastAsia="zh-CN"/>
        </w:rPr>
        <w:t>2025年通过党组理论学习中心组学习</w:t>
      </w:r>
      <w:r>
        <w:rPr>
          <w:rFonts w:hint="eastAsia" w:ascii="仿宋_GB2312" w:hAnsi="仿宋_GB2312" w:eastAsia="仿宋_GB2312" w:cs="仿宋_GB2312"/>
          <w:sz w:val="32"/>
          <w:szCs w:val="32"/>
        </w:rPr>
        <w:t>习近平法治思想</w:t>
      </w:r>
      <w:r>
        <w:rPr>
          <w:rFonts w:hint="eastAsia" w:ascii="仿宋_GB2312" w:hAnsi="仿宋_GB2312" w:eastAsia="仿宋_GB2312" w:cs="仿宋_GB2312"/>
          <w:sz w:val="32"/>
          <w:szCs w:val="32"/>
          <w:lang w:val="en-US" w:eastAsia="zh-CN"/>
        </w:rPr>
        <w:t>2次</w:t>
      </w:r>
      <w:r>
        <w:rPr>
          <w:rFonts w:hint="eastAsia" w:ascii="仿宋_GB2312" w:hAnsi="仿宋_GB2312" w:eastAsia="仿宋_GB2312" w:cs="仿宋_GB2312"/>
          <w:sz w:val="32"/>
          <w:szCs w:val="32"/>
        </w:rPr>
        <w:t>，学习内容涵盖全面依法治国指导思想、政治方向、重要地位、工作布局、重点任务等方面，确保学习的系统性与连贯性。</w:t>
      </w:r>
      <w:r>
        <w:rPr>
          <w:rFonts w:hint="eastAsia" w:ascii="仿宋_GB2312" w:hAnsi="仿宋_GB2312" w:eastAsia="仿宋_GB2312" w:cs="仿宋_GB2312"/>
          <w:sz w:val="32"/>
          <w:szCs w:val="32"/>
          <w:lang w:val="en-US" w:eastAsia="zh-CN"/>
        </w:rPr>
        <w:t>同时购买《习近平法治思想学习问答》《习近平法治思想学习纲要》等权威辅助读物</w:t>
      </w:r>
      <w:r>
        <w:rPr>
          <w:rFonts w:hint="eastAsia" w:ascii="仿宋_GB2312" w:hAnsi="仿宋_GB2312" w:eastAsia="仿宋_GB2312" w:cs="仿宋_GB2312"/>
          <w:sz w:val="32"/>
          <w:szCs w:val="32"/>
          <w:lang w:eastAsia="zh-CN"/>
        </w:rPr>
        <w:t>，确保单位内</w:t>
      </w:r>
      <w:r>
        <w:rPr>
          <w:rFonts w:hint="eastAsia" w:ascii="仿宋_GB2312" w:hAnsi="仿宋_GB2312" w:eastAsia="仿宋_GB2312" w:cs="仿宋_GB2312"/>
          <w:sz w:val="32"/>
          <w:szCs w:val="32"/>
          <w:lang w:val="en-US" w:eastAsia="zh-CN"/>
        </w:rPr>
        <w:t>部</w:t>
      </w:r>
      <w:r>
        <w:rPr>
          <w:rFonts w:hint="eastAsia" w:ascii="仿宋_GB2312" w:hAnsi="仿宋_GB2312" w:eastAsia="仿宋_GB2312" w:cs="仿宋_GB2312"/>
          <w:sz w:val="32"/>
          <w:szCs w:val="32"/>
          <w:lang w:eastAsia="zh-CN"/>
        </w:rPr>
        <w:t>有足够数量的书籍以供学习。</w:t>
      </w:r>
    </w:p>
    <w:p w14:paraId="4310B2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2.推进</w:t>
      </w:r>
      <w:r>
        <w:rPr>
          <w:rFonts w:hint="default" w:ascii="仿宋_GB2312" w:hAnsi="仿宋_GB2312" w:eastAsia="仿宋_GB2312" w:cs="仿宋_GB2312"/>
          <w:b/>
          <w:bCs/>
          <w:sz w:val="32"/>
          <w:szCs w:val="32"/>
          <w:lang w:val="en-US" w:eastAsia="zh-CN"/>
        </w:rPr>
        <w:t>严格规范公正文明执法。</w:t>
      </w:r>
      <w:r>
        <w:rPr>
          <w:rFonts w:hint="default" w:ascii="仿宋_GB2312" w:hAnsi="仿宋_GB2312" w:eastAsia="仿宋_GB2312" w:cs="仿宋_GB2312"/>
          <w:sz w:val="32"/>
          <w:szCs w:val="32"/>
          <w:lang w:val="en-US" w:eastAsia="zh-CN"/>
        </w:rPr>
        <w:t>我局严格落实《江西省行政执法证件管理办法》，规范行政执法主体资格审查、证件申领和依法注销等管理工作。对全局行政执法人员执法资格进行全面自查，</w:t>
      </w:r>
      <w:r>
        <w:rPr>
          <w:rFonts w:hint="eastAsia" w:ascii="仿宋_GB2312" w:hAnsi="仿宋_GB2312" w:eastAsia="仿宋_GB2312" w:cs="仿宋_GB2312"/>
          <w:sz w:val="32"/>
          <w:szCs w:val="32"/>
          <w:lang w:val="en-US" w:eastAsia="zh-CN"/>
        </w:rPr>
        <w:t>2025年</w:t>
      </w:r>
      <w:r>
        <w:rPr>
          <w:rFonts w:hint="default" w:ascii="仿宋_GB2312" w:hAnsi="仿宋_GB2312" w:eastAsia="仿宋_GB2312" w:cs="仿宋_GB2312"/>
          <w:sz w:val="32"/>
          <w:szCs w:val="32"/>
          <w:lang w:val="en-US" w:eastAsia="zh-CN"/>
        </w:rPr>
        <w:t>共申办执法证件</w:t>
      </w:r>
      <w:r>
        <w:rPr>
          <w:rFonts w:hint="eastAsia" w:ascii="仿宋_GB2312" w:hAnsi="仿宋_GB2312" w:eastAsia="仿宋_GB2312" w:cs="仿宋_GB2312"/>
          <w:sz w:val="32"/>
          <w:szCs w:val="32"/>
          <w:lang w:val="en-US" w:eastAsia="zh-CN"/>
        </w:rPr>
        <w:t>9张</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注销执法证件10张;申办监督证件2张，调动监督证件至其他单位2张。</w:t>
      </w:r>
      <w:r>
        <w:rPr>
          <w:rFonts w:hint="default" w:ascii="仿宋_GB2312" w:hAnsi="仿宋_GB2312" w:eastAsia="仿宋_GB2312" w:cs="仿宋_GB2312"/>
          <w:sz w:val="32"/>
          <w:szCs w:val="32"/>
          <w:lang w:val="en-US" w:eastAsia="zh-CN"/>
        </w:rPr>
        <w:t>目前全局持执法证人员</w:t>
      </w:r>
      <w:r>
        <w:rPr>
          <w:rFonts w:hint="eastAsia" w:ascii="仿宋_GB2312" w:hAnsi="仿宋_GB2312" w:eastAsia="仿宋_GB2312" w:cs="仿宋_GB2312"/>
          <w:sz w:val="32"/>
          <w:szCs w:val="32"/>
          <w:lang w:val="en-US" w:eastAsia="zh-CN"/>
        </w:rPr>
        <w:t>98</w:t>
      </w:r>
      <w:r>
        <w:rPr>
          <w:rFonts w:hint="default" w:ascii="仿宋_GB2312" w:hAnsi="仿宋_GB2312" w:eastAsia="仿宋_GB2312" w:cs="仿宋_GB2312"/>
          <w:sz w:val="32"/>
          <w:szCs w:val="32"/>
          <w:lang w:val="en-US" w:eastAsia="zh-CN"/>
        </w:rPr>
        <w:t>人，持监督证人员</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人，所有行政执法证和行政监督证全部录入江西省行政执法证件管理信息系统。严格落实行政执法人员持证上岗制度，未取得行政执法证件的人员不得独立从事行政执法工作。</w:t>
      </w:r>
    </w:p>
    <w:p w14:paraId="217E68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我局认真贯彻落实行政执法人员培训工作，一是针对行政执法实务开展培训活动，梳理行政执法工作中的常见问题，组织全局执法人员进行学习交流，强化行政执法队伍建设，202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年共开展</w:t>
      </w:r>
      <w:r>
        <w:rPr>
          <w:rFonts w:hint="eastAsia" w:ascii="仿宋_GB2312" w:hAnsi="仿宋_GB2312" w:eastAsia="仿宋_GB2312" w:cs="仿宋_GB2312"/>
          <w:sz w:val="32"/>
          <w:szCs w:val="32"/>
          <w:lang w:val="en-US" w:eastAsia="zh-CN"/>
        </w:rPr>
        <w:t>培训活动2</w:t>
      </w:r>
      <w:r>
        <w:rPr>
          <w:rFonts w:hint="default" w:ascii="仿宋_GB2312" w:hAnsi="仿宋_GB2312" w:eastAsia="仿宋_GB2312" w:cs="仿宋_GB2312"/>
          <w:sz w:val="32"/>
          <w:szCs w:val="32"/>
          <w:lang w:val="en-US" w:eastAsia="zh-CN"/>
        </w:rPr>
        <w:t>次。并且积极加强纵向、横向业务交流，积极</w:t>
      </w:r>
      <w:r>
        <w:rPr>
          <w:rFonts w:hint="default" w:ascii="仿宋_GB2312" w:hAnsi="仿宋_GB2312" w:eastAsia="仿宋_GB2312" w:cs="仿宋_GB2312"/>
          <w:sz w:val="32"/>
          <w:szCs w:val="32"/>
          <w:lang w:eastAsia="zh-CN"/>
          <w:woUserID w:val="1"/>
        </w:rPr>
        <w:t>参加</w:t>
      </w:r>
      <w:r>
        <w:rPr>
          <w:rFonts w:hint="default" w:ascii="仿宋_GB2312" w:hAnsi="仿宋_GB2312" w:eastAsia="仿宋_GB2312" w:cs="仿宋_GB2312"/>
          <w:sz w:val="32"/>
          <w:szCs w:val="32"/>
          <w:lang w:val="en-US" w:eastAsia="zh-CN"/>
        </w:rPr>
        <w:t>全省、全市业务培训班，与其他县区学习探讨行政执法过程中的难点疑点，深入剖析基层执法工作中常见的问题。二是组织全局行政执法人员登录江西省行政执法综合管理监督信息系统、国家市场监督管理总局网络学院进行网上公共法律知识、业务知识培训和行政执法技能培训，要求每人共完成至少60个课时的学习并考试合格。三是常态化开展、参与“以考促学”工作，全局持执法证人员全部参与区司法局、市司法局组织的“以考促学”考试。印发《东湖区市场监督管理局常态化开展行政执法人员“以考促学”工作方案》，督促行政执法人员提高认识，抓好学习自测，对个人成绩进行全局通报，相关结果运用在综合考核中，确保“以考促学”取得工作实效。</w:t>
      </w:r>
    </w:p>
    <w:p w14:paraId="038F08B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3.落实行政复议应诉工作。</w:t>
      </w:r>
      <w:r>
        <w:rPr>
          <w:rFonts w:hint="eastAsia" w:ascii="仿宋_GB2312" w:hAnsi="仿宋_GB2312" w:eastAsia="仿宋_GB2312" w:cs="仿宋_GB2312"/>
          <w:color w:val="000000"/>
          <w:sz w:val="32"/>
          <w:szCs w:val="32"/>
          <w:lang w:val="en-US" w:eastAsia="zh-CN"/>
        </w:rPr>
        <w:t>我局依法答复市、区两级行</w:t>
      </w:r>
      <w:r>
        <w:rPr>
          <w:rFonts w:hint="eastAsia" w:ascii="仿宋_GB2312" w:hAnsi="仿宋_GB2312" w:eastAsia="仿宋_GB2312" w:cs="仿宋_GB2312"/>
          <w:sz w:val="32"/>
          <w:szCs w:val="32"/>
          <w:lang w:val="en-US" w:eastAsia="zh-CN"/>
        </w:rPr>
        <w:t>政复议案件，依法及时履行行政复议决定。2025年已答复市级行政复议109件，区级行政复议6件。我局严格落实行政诉讼案件依法应诉、行政机关负责人出庭应诉工作要求，2025年无行政诉讼案件。</w:t>
      </w:r>
    </w:p>
    <w:p w14:paraId="24EEF74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4.落实依法行政工作。</w:t>
      </w:r>
      <w:r>
        <w:rPr>
          <w:rFonts w:hint="eastAsia" w:ascii="仿宋_GB2312" w:hAnsi="仿宋_GB2312" w:eastAsia="仿宋_GB2312" w:cs="仿宋_GB2312"/>
          <w:sz w:val="32"/>
          <w:szCs w:val="32"/>
          <w:lang w:val="en-US" w:eastAsia="zh-CN"/>
        </w:rPr>
        <w:t>我局严格落实全面依法治区要求，充分发挥法律顾问作用，已聘请江西华罡律师事务所祝融、朱钰两名律师担任法律顾问，签订法律顾问合同，并已在区司法局进行备案，2025年共出具书面法律意见9份。同时根据《江西省司法厅关于在全省司法行政系统普遍建立公职律师制度的通知》文件精神，设立我局公职律师办公室，现局内共三名公职律师。在行政执法过程中出现的争议，将咨询法律顾问、公职律师意见，在综合考量后作出处理决定。</w:t>
      </w:r>
    </w:p>
    <w:p w14:paraId="6F8CCEDC">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r>
        <w:rPr>
          <w:rFonts w:hint="eastAsia" w:ascii="仿宋_GB2312" w:hAnsi="仿宋_GB2312" w:eastAsia="仿宋_GB2312" w:cs="仿宋_GB2312"/>
          <w:b/>
          <w:bCs/>
          <w:kern w:val="2"/>
          <w:sz w:val="32"/>
          <w:szCs w:val="32"/>
          <w:lang w:val="en-US" w:eastAsia="zh-CN" w:bidi="ar-SA"/>
        </w:rPr>
        <w:t>5.持续推进普法宣传活动。</w:t>
      </w:r>
      <w:r>
        <w:rPr>
          <w:rFonts w:hint="eastAsia" w:ascii="仿宋_GB2312" w:hAnsi="仿宋_GB2312" w:eastAsia="仿宋_GB2312" w:cs="仿宋_GB2312"/>
          <w:kern w:val="2"/>
          <w:sz w:val="32"/>
          <w:szCs w:val="32"/>
          <w:lang w:val="en-US" w:eastAsia="zh-CN" w:bidi="ar-SA"/>
        </w:rPr>
        <w:t>我局充分利</w:t>
      </w:r>
      <w:r>
        <w:rPr>
          <w:rFonts w:hint="eastAsia" w:ascii="仿宋_GB2312" w:hAnsi="仿宋_GB2312" w:eastAsia="仿宋_GB2312" w:cs="仿宋_GB2312"/>
          <w:bCs/>
          <w:kern w:val="2"/>
          <w:sz w:val="32"/>
          <w:szCs w:val="32"/>
          <w:lang w:val="en-US" w:eastAsia="zh-CN" w:bidi="ar-SA"/>
        </w:rPr>
        <w:t>用“3·15国际消费者权益日”和“民法典宣传月”等重要时间节点，在商业集中区域、普法广场等地开展宣传活动，宣传市场监管相关法律法规，接受群众现场咨询。营造生产经营者守法经营、消费者依法维权的良好法治氛围。</w:t>
      </w:r>
    </w:p>
    <w:p w14:paraId="618344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（二）依法治区工作要点承担任务落实情况</w:t>
      </w:r>
    </w:p>
    <w:p w14:paraId="20AC332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1.完善行政执法监督机制。</w:t>
      </w:r>
      <w:r>
        <w:rPr>
          <w:rFonts w:hint="eastAsia" w:ascii="仿宋_GB2312" w:hAnsi="仿宋_GB2312" w:eastAsia="仿宋_GB2312" w:cs="仿宋_GB2312"/>
          <w:sz w:val="32"/>
          <w:szCs w:val="32"/>
          <w:lang w:val="en-US" w:eastAsia="zh-CN"/>
        </w:rPr>
        <w:t>我局严格落实行政执法监督、法治督察、政府督查、行政复议、行政诉讼、检察监督等工作要求，进一步强化行政执法监督结果运用。2025年共处理行政执法监督3起、行政复议115件，接受相关督察3次，接受省、市市场监督管理局督查1次。</w:t>
      </w:r>
    </w:p>
    <w:p w14:paraId="57F7AB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2.执法办案情况。</w:t>
      </w:r>
      <w:r>
        <w:rPr>
          <w:rFonts w:hint="eastAsia" w:ascii="仿宋_GB2312" w:hAnsi="仿宋_GB2312" w:eastAsia="仿宋_GB2312" w:cs="仿宋_GB2312"/>
          <w:sz w:val="32"/>
          <w:szCs w:val="32"/>
          <w:lang w:val="en-US" w:eastAsia="zh-CN"/>
        </w:rPr>
        <w:t>我局持续优化营商环境，认真领会《市场监管行政违法行为首违不罚、轻微免罚清单(一)》《江西省市场监管领域行政执法减免责四张清单（2025年版）》《江西省市场监督管理行政处罚裁量权参照执行标准（2024年本）》《南昌市市场监管领域行政执法包容审慎“四张清单”》等文件精神。持续推进包容审慎监管，在向违法当事人送达《行政处罚决定书》的同时，同步送达《信用修复告知书》，督促违法当事人及时整改违法问题，引导违法当事人恢复良好信用。对当事人依法减免责的，采取签订承诺书等方式教育、引导、督促其自觉守法。2025年以来普通程序案件已适用不予行政处罚11件，从轻处罚13件，减轻处罚12件。</w:t>
      </w:r>
    </w:p>
    <w:p w14:paraId="369DD9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w:t>
      </w:r>
      <w:r>
        <w:rPr>
          <w:rFonts w:hint="eastAsia" w:ascii="仿宋_GB2312" w:hAnsi="仿宋_GB2312" w:eastAsia="仿宋_GB2312" w:cs="仿宋_GB2312"/>
          <w:color w:val="000000"/>
          <w:sz w:val="32"/>
          <w:szCs w:val="32"/>
          <w:lang w:val="en-US" w:eastAsia="zh-CN"/>
        </w:rPr>
        <w:t>围绕行政执法全过程，</w:t>
      </w:r>
      <w:r>
        <w:rPr>
          <w:rFonts w:hint="eastAsia" w:ascii="仿宋_GB2312" w:hAnsi="仿宋_GB2312" w:eastAsia="仿宋_GB2312" w:cs="仿宋_GB2312"/>
          <w:sz w:val="32"/>
          <w:szCs w:val="32"/>
          <w:lang w:val="en-US" w:eastAsia="zh-CN"/>
        </w:rPr>
        <w:t>不断建立健全行政执法制度，</w:t>
      </w:r>
      <w:r>
        <w:rPr>
          <w:rFonts w:hint="eastAsia" w:ascii="仿宋_GB2312" w:hAnsi="仿宋_GB2312" w:eastAsia="仿宋_GB2312" w:cs="仿宋_GB2312"/>
          <w:color w:val="000000"/>
          <w:sz w:val="32"/>
          <w:szCs w:val="32"/>
          <w:lang w:val="en-US" w:eastAsia="zh-CN"/>
        </w:rPr>
        <w:t>印发《南昌市东湖区市场监督管理局行政处罚程序适用规范》《南昌市东湖区市场监督管理局行政处罚案件集体讨论工作规则》《南昌市东湖区市场监督管理局行政处罚案卷评查规则》</w:t>
      </w:r>
      <w:r>
        <w:rPr>
          <w:rFonts w:hint="eastAsia" w:ascii="仿宋_GB2312" w:hAnsi="仿宋_GB2312" w:eastAsia="仿宋_GB2312" w:cs="仿宋_GB2312"/>
          <w:sz w:val="32"/>
          <w:szCs w:val="32"/>
          <w:lang w:val="en-US" w:eastAsia="zh-CN"/>
        </w:rPr>
        <w:t>等制度，切实提升执法规范化建设水平。2025年已开展行政处罚案件集体讨论21次，开展局内案卷评查2次。</w:t>
      </w:r>
    </w:p>
    <w:p w14:paraId="0E12ED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全面贯彻落实《行政执法机关移送涉嫌犯罪案件的规定》，加强行政执法部门与公安机关、检察机关的协调配合，畅通案件移送渠道。加强行政执法部门与纪检监察机关的协作配合，及时依规依纪依法移送行政执法过程中发现的有关问题线索。2025共移送公安机关案件线索1起，共接收公安机关、检察机关移交案件线索9起。</w:t>
      </w:r>
    </w:p>
    <w:p w14:paraId="4A29C9A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rPr>
      </w:pPr>
      <w:r>
        <w:rPr>
          <w:rFonts w:hint="eastAsia" w:ascii="仿宋_GB2312" w:hAnsi="仿宋_GB2312" w:eastAsia="仿宋_GB2312" w:cs="仿宋_GB2312"/>
          <w:b/>
          <w:bCs/>
          <w:sz w:val="32"/>
          <w:szCs w:val="32"/>
          <w:lang w:val="en-US" w:eastAsia="zh-CN"/>
        </w:rPr>
        <w:t>3.涉企专项行动。</w:t>
      </w:r>
      <w:r>
        <w:rPr>
          <w:rFonts w:hint="eastAsia" w:ascii="仿宋_GB2312" w:hAnsi="仿宋_GB2312" w:eastAsia="仿宋_GB2312" w:cs="仿宋_GB2312"/>
          <w:sz w:val="32"/>
          <w:szCs w:val="32"/>
          <w:lang w:val="en-US" w:eastAsia="zh-CN"/>
        </w:rPr>
        <w:t>我局依法开展涉企专项行动，针对“乱收费、乱罚款、乱检查、乱查封”等问题，严格执行属地管理原则，严禁跨区域违规执法，坚决杜绝利益驱动执法。通过案卷评查、行政复议渠道，共报送涉企行政执法问题线索13条。印发《南昌市东湖区市场监管局规范涉企行政执法专项行动实施方案》，落实法治护企“法码同行”要求，力促市场监管涉企执法“三减少四提高”，持续增强涉企行政检查规范性、精准性、有效性和透明度。截至目前共通过平台报备检查记录529条，入企服务2次。</w:t>
      </w:r>
    </w:p>
    <w:p w14:paraId="6DD633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lang w:val="en-US" w:eastAsia="zh-CN"/>
        </w:rPr>
        <w:t>二、主要存在的问题</w:t>
      </w:r>
    </w:p>
    <w:p w14:paraId="081209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在法治建设工作中主要存在两方面问题。一是新兴消费风险显现与基层执法人员人力、经验不足的矛盾。现如今线上消费、预付式消费等新模式带来的维权取证难、跨区域协调难问题突出，投诉量持续增长与基层人力、经验不足的矛盾显现，部分复杂纠纷调处周期较长。二是法制审核力量亟待加强。我局作为行政执法单位，涉及的法律问题较多，法制审核力量不足。</w:t>
      </w:r>
    </w:p>
    <w:p w14:paraId="5FDAFB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三、主要负责同志履行职责情况</w:t>
      </w:r>
    </w:p>
    <w:p w14:paraId="5ED1F7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（一）</w:t>
      </w:r>
      <w:r>
        <w:rPr>
          <w:rFonts w:hint="default" w:ascii="楷体" w:hAnsi="楷体" w:eastAsia="楷体" w:cs="楷体"/>
          <w:b/>
          <w:bCs/>
          <w:sz w:val="32"/>
          <w:szCs w:val="32"/>
          <w:lang w:val="en-US" w:eastAsia="zh-CN"/>
        </w:rPr>
        <w:t>重要工作亲自部署</w:t>
      </w:r>
    </w:p>
    <w:p w14:paraId="6F25EB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学习贯彻习近平法治思想。</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带头深入学习贯彻习近平法治思想，贯彻习近平总书记关于法治建设的重要指示精神。结合本单位实际，将习近平法治思想纳入党组理论学习中心组学习，带头开展两次专题学习研讨活动</w:t>
      </w:r>
      <w:r>
        <w:rPr>
          <w:rFonts w:hint="eastAsia" w:ascii="仿宋_GB2312" w:hAnsi="仿宋_GB2312" w:eastAsia="仿宋_GB2312" w:cs="仿宋_GB2312"/>
          <w:sz w:val="32"/>
          <w:szCs w:val="32"/>
          <w:lang w:val="en-US" w:eastAsia="zh-CN"/>
        </w:rPr>
        <w:t xml:space="preserve">。    </w:t>
      </w:r>
    </w:p>
    <w:p w14:paraId="40DE8E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落实普法责任制。</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注重本部门法治宣传、培训工作，审定局普法责任清单，既涵盖习近平法治思想、《市场监督管理投诉举报处理暂行办法》等内部学习培训内容，也包括消费者权益保护、宪法宣传等对外宣传内容。</w:t>
      </w:r>
    </w:p>
    <w:p w14:paraId="48DF390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加大对重点领域执法力度。</w:t>
      </w:r>
      <w:r>
        <w:rPr>
          <w:rFonts w:hint="default" w:ascii="仿宋_GB2312" w:hAnsi="仿宋_GB2312" w:eastAsia="仿宋_GB2312" w:cs="仿宋_GB2312"/>
          <w:sz w:val="32"/>
          <w:szCs w:val="32"/>
          <w:lang w:val="en-US" w:eastAsia="zh-CN"/>
        </w:rPr>
        <w:t>食品安全监管方面，开展制售假劣肉制品、血豆腐、冷（冻）库贮存冷链食品、农村地区假冒伪劣食品、食用植物油质量安全等专项整治，积极推进网络餐饮“互联网+明厨亮灶”建设。药械安全监管方面，重点打击无证经营、使用假劣药械、非法渠道购进药品等违法违规行为，督促指导</w:t>
      </w:r>
      <w:bookmarkStart w:id="0" w:name="_GoBack"/>
      <w:bookmarkEnd w:id="0"/>
      <w:r>
        <w:rPr>
          <w:rFonts w:hint="default" w:ascii="仿宋_GB2312" w:hAnsi="仿宋_GB2312" w:eastAsia="仿宋_GB2312" w:cs="仿宋_GB2312"/>
          <w:sz w:val="32"/>
          <w:szCs w:val="32"/>
          <w:lang w:val="en-US" w:eastAsia="zh-CN"/>
        </w:rPr>
        <w:t>医疗机构进一步规范药械采购与验收，确保药械质量可靠、来源可追溯。产品质量安全方面，开展电动自行车、燃气具、消防产品等重点工业产品质量安全监督检查工作，“一老一小”用品、禁塑限塑、建筑保温材料等专项整治工作。特种设备安全方面，多次开展企业主要负责人安全教育培训及应急救援演练，积极推进老旧电梯更新工作。</w:t>
      </w:r>
    </w:p>
    <w:p w14:paraId="2E48152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default" w:ascii="仿宋_GB2312" w:hAnsi="仿宋_GB2312" w:eastAsia="仿宋_GB2312" w:cs="仿宋_GB2312"/>
          <w:b/>
          <w:bCs/>
          <w:sz w:val="32"/>
          <w:szCs w:val="32"/>
          <w:lang w:val="en-US" w:eastAsia="zh-CN"/>
        </w:rPr>
        <w:t>持续推进包容审慎监管。</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带头学习领会《市场监管行政违法行为首违不罚、轻微免罚清单(一)》《江西省市场监管领域行政执法减免责四张清单（2025年版）》《江西省市场监督管理行政处罚裁量权参照执行标准（2024年本）》《南昌市市场监管领域行政执法包容审慎“四张清单”》等文件精神，持续推进包容审慎监管</w:t>
      </w:r>
      <w:r>
        <w:rPr>
          <w:rFonts w:hint="eastAsia" w:ascii="仿宋_GB2312" w:hAnsi="仿宋_GB2312" w:eastAsia="仿宋_GB2312" w:cs="仿宋_GB2312"/>
          <w:sz w:val="32"/>
          <w:szCs w:val="32"/>
          <w:lang w:val="en-US" w:eastAsia="zh-CN"/>
        </w:rPr>
        <w:t>。</w:t>
      </w:r>
    </w:p>
    <w:p w14:paraId="1BA1C2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（二）</w:t>
      </w:r>
      <w:r>
        <w:rPr>
          <w:rFonts w:hint="default" w:ascii="楷体" w:hAnsi="楷体" w:eastAsia="楷体" w:cs="楷体"/>
          <w:b/>
          <w:bCs/>
          <w:sz w:val="32"/>
          <w:szCs w:val="32"/>
          <w:lang w:val="en-US" w:eastAsia="zh-CN"/>
        </w:rPr>
        <w:t>重大问题亲自过问</w:t>
      </w:r>
    </w:p>
    <w:p w14:paraId="7CD8C9B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落实依法行政工作。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督促领导班子其他成员依法行政，不得干预司法活动、插手具体案件处理。要求各办案机构严格落实行政执法“三项制度”。</w:t>
      </w:r>
    </w:p>
    <w:p w14:paraId="1058F20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落实行政应诉工作。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认真落实行政机关负责人出庭应诉制度，并严格执行法院生效裁判。</w:t>
      </w:r>
    </w:p>
    <w:p w14:paraId="21037E3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落实行政复议工作。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尊重并执行生效行政复议决定，督促相关执法人员纠正违法、不当的行政行为</w:t>
      </w:r>
      <w:r>
        <w:rPr>
          <w:rFonts w:hint="eastAsia" w:ascii="仿宋_GB2312" w:hAnsi="仿宋_GB2312" w:eastAsia="仿宋_GB2312" w:cs="仿宋_GB2312"/>
          <w:sz w:val="32"/>
          <w:szCs w:val="32"/>
          <w:lang w:val="en-US" w:eastAsia="zh-CN"/>
        </w:rPr>
        <w:t>20</w:t>
      </w:r>
      <w:r>
        <w:rPr>
          <w:rFonts w:hint="default" w:ascii="仿宋_GB2312" w:hAnsi="仿宋_GB2312" w:eastAsia="仿宋_GB2312" w:cs="仿宋_GB2312"/>
          <w:sz w:val="32"/>
          <w:szCs w:val="32"/>
          <w:lang w:val="en-US" w:eastAsia="zh-CN"/>
        </w:rPr>
        <w:t>件。</w:t>
      </w:r>
    </w:p>
    <w:p w14:paraId="693CF6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default" w:ascii="仿宋_GB2312" w:hAnsi="仿宋_GB2312" w:eastAsia="仿宋_GB2312" w:cs="仿宋_GB2312"/>
          <w:b/>
          <w:bCs/>
          <w:sz w:val="32"/>
          <w:szCs w:val="32"/>
          <w:lang w:val="en-US" w:eastAsia="zh-CN"/>
        </w:rPr>
        <w:t>规范行政执法主体资格。</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严格落实《江西省行政执法证件管理办法》，规范行政执法主体资格审查、证件申领和依法注销等管理工作。督促对全局行政执法人员执法资格进行自查，严格落实行政执法人员持证上岗制度，未取得行政执法证件的人员不得独立从事行政执法工作。</w:t>
      </w:r>
    </w:p>
    <w:p w14:paraId="3AC2E2F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w:t>
      </w:r>
      <w:r>
        <w:rPr>
          <w:rFonts w:hint="default" w:ascii="仿宋_GB2312" w:hAnsi="仿宋_GB2312" w:eastAsia="仿宋_GB2312" w:cs="仿宋_GB2312"/>
          <w:b/>
          <w:bCs/>
          <w:sz w:val="32"/>
          <w:szCs w:val="32"/>
          <w:lang w:val="en-US" w:eastAsia="zh-CN"/>
        </w:rPr>
        <w:t>维护消费者合法权益。</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督促各办案机构及时处理各端口投诉举报，提振消费信心。2025年受理12315平台消费者投诉、举报</w:t>
      </w:r>
      <w:r>
        <w:rPr>
          <w:rFonts w:hint="eastAsia" w:ascii="仿宋_GB2312" w:hAnsi="仿宋_GB2312" w:eastAsia="仿宋_GB2312" w:cs="仿宋_GB2312"/>
          <w:sz w:val="32"/>
          <w:szCs w:val="32"/>
          <w:lang w:val="en-US" w:eastAsia="zh-CN"/>
        </w:rPr>
        <w:t>11000</w:t>
      </w:r>
      <w:r>
        <w:rPr>
          <w:rFonts w:hint="default" w:ascii="仿宋_GB2312" w:hAnsi="仿宋_GB2312" w:eastAsia="仿宋_GB2312" w:cs="仿宋_GB2312"/>
          <w:sz w:val="32"/>
          <w:szCs w:val="32"/>
          <w:lang w:val="en-US" w:eastAsia="zh-CN"/>
        </w:rPr>
        <w:t>余件，处理12345政务服务热线转办件6</w:t>
      </w:r>
      <w:r>
        <w:rPr>
          <w:rFonts w:hint="eastAsia" w:ascii="仿宋_GB2312" w:hAnsi="仿宋_GB2312" w:eastAsia="仿宋_GB2312" w:cs="仿宋_GB2312"/>
          <w:sz w:val="32"/>
          <w:szCs w:val="32"/>
          <w:lang w:val="en-US" w:eastAsia="zh-CN"/>
        </w:rPr>
        <w:t>900</w:t>
      </w:r>
      <w:r>
        <w:rPr>
          <w:rFonts w:hint="default" w:ascii="仿宋_GB2312" w:hAnsi="仿宋_GB2312" w:eastAsia="仿宋_GB2312" w:cs="仿宋_GB2312"/>
          <w:sz w:val="32"/>
          <w:szCs w:val="32"/>
          <w:lang w:val="en-US" w:eastAsia="zh-CN"/>
        </w:rPr>
        <w:t>余件。</w:t>
      </w:r>
    </w:p>
    <w:p w14:paraId="54DF95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w:t>
      </w:r>
      <w:r>
        <w:rPr>
          <w:rFonts w:hint="default" w:ascii="楷体" w:hAnsi="楷体" w:eastAsia="楷体" w:cs="楷体"/>
          <w:b/>
          <w:bCs/>
          <w:sz w:val="32"/>
          <w:szCs w:val="32"/>
          <w:lang w:val="en-US" w:eastAsia="zh-CN"/>
        </w:rPr>
        <w:t>重点环节亲自协调</w:t>
      </w:r>
    </w:p>
    <w:p w14:paraId="7D25975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行政执法规范化建设。</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严格落实全面依法治区要求，聘请江西华罡律师事务所祝融、朱钰两名律师担任局法律顾问并签订法律顾问合同。同时根据《江西省司法厅关于在全省司法行政系统普遍建立公职律师制度的通知》文件精神，设立我局公职律师办公室，现局内共三名公职律师。在行政执法过程中出现的争议，将咨询法律顾问、公职律师意见，在综合考量后作出处理决定。</w:t>
      </w:r>
    </w:p>
    <w:p w14:paraId="2951D1F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协调案件移送工作。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贯彻落实《行政执法机关移送涉嫌犯罪案件的规定》，加强与公安机关、检察机关的协调配合，畅通案件移送渠道。</w:t>
      </w:r>
    </w:p>
    <w:p w14:paraId="6F23E60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构建信用监管体系。</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督促相关股室依托国家企业信用信息公示系统，对市场主体根据信用风险状况，建立信用风险抽查检查对象库，为监管提供基础支撑，并及时归集涉企信用信息，为企业信用风险等级动态更新提供数据支持。对符合信用修复条件的市场主体，及时作出同意修复的决定，并在规定时间内将修复信息录入国家企业信用信息公示系统。2025年共移出企业经营异常名录</w:t>
      </w:r>
      <w:r>
        <w:rPr>
          <w:rFonts w:hint="default" w:ascii="仿宋_GB2312" w:hAnsi="仿宋_GB2312" w:eastAsia="仿宋_GB2312" w:cs="仿宋_GB2312"/>
          <w:sz w:val="32"/>
          <w:szCs w:val="32"/>
          <w:lang w:eastAsia="zh-CN"/>
          <w:woUserID w:val="1"/>
        </w:rPr>
        <w:t>102</w:t>
      </w:r>
      <w:r>
        <w:rPr>
          <w:rFonts w:hint="default" w:ascii="仿宋_GB2312" w:hAnsi="仿宋_GB2312" w:eastAsia="仿宋_GB2312" w:cs="仿宋_GB2312"/>
          <w:sz w:val="32"/>
          <w:szCs w:val="32"/>
          <w:lang w:val="en-US" w:eastAsia="zh-CN"/>
        </w:rPr>
        <w:t>户，共4户企业申请停止公示行政处罚信息。</w:t>
      </w:r>
    </w:p>
    <w:p w14:paraId="1358EB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（四）</w:t>
      </w:r>
      <w:r>
        <w:rPr>
          <w:rFonts w:hint="default" w:ascii="楷体" w:hAnsi="楷体" w:eastAsia="楷体" w:cs="楷体"/>
          <w:b/>
          <w:bCs/>
          <w:sz w:val="32"/>
          <w:szCs w:val="32"/>
          <w:lang w:val="en-US" w:eastAsia="zh-CN"/>
        </w:rPr>
        <w:t>重要任务亲自督办</w:t>
      </w:r>
    </w:p>
    <w:p w14:paraId="2B50C1B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对本部门执法人员培训工作。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组织开展行政执法实务培训活动，强化行政执法队伍建设</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组织全局行政执法人员进行网上公共法律知识、业务知识培训和行政执法技能培训，审定《东湖区市场监督管理局常态化开展行政执法人员“以考促学”工作方案》，督促行政执法人员提高认识，抓好学习自测，对个人成绩进行全局通报，相关结果运用在综合考核中。</w:t>
      </w:r>
    </w:p>
    <w:p w14:paraId="0389D6B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普法宣传工作。</w:t>
      </w:r>
      <w:r>
        <w:rPr>
          <w:rFonts w:hint="eastAsia" w:ascii="仿宋_GB2312" w:hAnsi="仿宋_GB2312" w:eastAsia="仿宋_GB2312" w:cs="仿宋_GB2312"/>
          <w:sz w:val="32"/>
          <w:szCs w:val="32"/>
          <w:lang w:val="en-US" w:eastAsia="zh-CN"/>
        </w:rPr>
        <w:t>主要负责同志</w:t>
      </w:r>
      <w:r>
        <w:rPr>
          <w:rFonts w:hint="default" w:ascii="仿宋_GB2312" w:hAnsi="仿宋_GB2312" w:eastAsia="仿宋_GB2312" w:cs="仿宋_GB2312"/>
          <w:sz w:val="32"/>
          <w:szCs w:val="32"/>
          <w:lang w:val="en-US" w:eastAsia="zh-CN"/>
        </w:rPr>
        <w:t>要求相关股室充分利用“3·15国际消费者权益日”和“民法典宣传月”等重要时间节点，在商业集中区域、普法广场等地开展宣传活动，宣传市场监管相关法律法规，接受群众现场咨询，营造生产经营者守法经营、消费者依法维权的良好法治氛围。</w:t>
      </w:r>
    </w:p>
    <w:p w14:paraId="21AE7F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lang w:val="en-US" w:eastAsia="zh-CN"/>
        </w:rPr>
        <w:t>四</w:t>
      </w:r>
      <w:r>
        <w:rPr>
          <w:rFonts w:hint="eastAsia" w:ascii="CESI黑体-GB2312" w:hAnsi="CESI黑体-GB2312" w:eastAsia="CESI黑体-GB2312" w:cs="CESI黑体-GB2312"/>
          <w:sz w:val="32"/>
          <w:szCs w:val="32"/>
          <w:lang w:eastAsia="zh-CN"/>
        </w:rPr>
        <w:t>、</w:t>
      </w:r>
      <w:r>
        <w:rPr>
          <w:rFonts w:hint="eastAsia" w:ascii="CESI黑体-GB2312" w:hAnsi="CESI黑体-GB2312" w:eastAsia="CESI黑体-GB2312" w:cs="CESI黑体-GB2312"/>
          <w:sz w:val="32"/>
          <w:szCs w:val="32"/>
        </w:rPr>
        <w:t>下一步工作打算</w:t>
      </w:r>
    </w:p>
    <w:p w14:paraId="4DBDE2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一是进一步规范行政处罚案卷。针对案卷评查、相关督导中对行政处罚案卷提出的问题，自查自纠，提升行政处罚案卷制作规范化水平。</w:t>
      </w:r>
    </w:p>
    <w:p w14:paraId="6B273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二是规范投诉举报回复时间及内容。针对全局行政复议败诉案例进行总结，与市、区两级法制办积极沟通交流，全面、准确回复投诉举报，降低行政复议纠错率。</w:t>
      </w:r>
    </w:p>
    <w:p w14:paraId="15CDE1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三是进一步加强</w:t>
      </w:r>
      <w:r>
        <w:rPr>
          <w:rFonts w:hint="eastAsia" w:ascii="仿宋_GB2312" w:hAnsi="仿宋_GB2312" w:eastAsia="仿宋_GB2312" w:cs="仿宋_GB2312"/>
          <w:bCs/>
          <w:kern w:val="2"/>
          <w:sz w:val="32"/>
          <w:szCs w:val="32"/>
          <w:lang w:val="en-US" w:eastAsia="zh-CN" w:bidi="ar-SA"/>
        </w:rPr>
        <w:t>业务培训，将线上、线下学习相结合，每年开展行政执法培训工作，切实提升</w:t>
      </w:r>
      <w:r>
        <w:rPr>
          <w:rFonts w:hint="eastAsia" w:ascii="仿宋_GB2312" w:hAnsi="仿宋_GB2312" w:eastAsia="仿宋_GB2312" w:cs="仿宋_GB2312"/>
          <w:bCs/>
          <w:snapToGrid/>
          <w:kern w:val="2"/>
          <w:sz w:val="32"/>
          <w:szCs w:val="32"/>
          <w:lang w:val="en-US" w:eastAsia="zh-CN" w:bidi="ar-SA"/>
        </w:rPr>
        <w:t>行政执法质效。</w:t>
      </w:r>
    </w:p>
    <w:p w14:paraId="7DFE926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29A09D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284E3E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42B13CB">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南昌市东湖区市场监督管理局</w:t>
      </w:r>
    </w:p>
    <w:p w14:paraId="6B62B276">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汉仪中黑KW">
    <w:altName w:val="黑体"/>
    <w:panose1 w:val="00020600040101010101"/>
    <w:charset w:val="86"/>
    <w:family w:val="auto"/>
    <w:pitch w:val="default"/>
    <w:sig w:usb0="00000000" w:usb1="00000000" w:usb2="00000016"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166340"/>
    <w:rsid w:val="00313160"/>
    <w:rsid w:val="00FD15AF"/>
    <w:rsid w:val="016347D7"/>
    <w:rsid w:val="01EA46B0"/>
    <w:rsid w:val="023B0C37"/>
    <w:rsid w:val="02955E4D"/>
    <w:rsid w:val="02FC1075"/>
    <w:rsid w:val="03094B07"/>
    <w:rsid w:val="036E4623"/>
    <w:rsid w:val="037C563F"/>
    <w:rsid w:val="04234385"/>
    <w:rsid w:val="04647342"/>
    <w:rsid w:val="04944539"/>
    <w:rsid w:val="06084F90"/>
    <w:rsid w:val="06417EA0"/>
    <w:rsid w:val="06F53E3D"/>
    <w:rsid w:val="08C401C2"/>
    <w:rsid w:val="08DD3C99"/>
    <w:rsid w:val="09DC0C8E"/>
    <w:rsid w:val="0A286239"/>
    <w:rsid w:val="0A886AA2"/>
    <w:rsid w:val="0A8F6EE2"/>
    <w:rsid w:val="0BC10559"/>
    <w:rsid w:val="0C273780"/>
    <w:rsid w:val="0C2E7888"/>
    <w:rsid w:val="0CF31BCF"/>
    <w:rsid w:val="0D42622D"/>
    <w:rsid w:val="0D5A4DF7"/>
    <w:rsid w:val="0D6D61B7"/>
    <w:rsid w:val="0DC0001E"/>
    <w:rsid w:val="0DF2626F"/>
    <w:rsid w:val="0E263246"/>
    <w:rsid w:val="0E8B5169"/>
    <w:rsid w:val="0EC230C4"/>
    <w:rsid w:val="0ED564BE"/>
    <w:rsid w:val="0F6F44E2"/>
    <w:rsid w:val="0F96557A"/>
    <w:rsid w:val="0F9F3B9F"/>
    <w:rsid w:val="10B2256F"/>
    <w:rsid w:val="11591A84"/>
    <w:rsid w:val="121641AC"/>
    <w:rsid w:val="121F0548"/>
    <w:rsid w:val="134527D3"/>
    <w:rsid w:val="14B55F33"/>
    <w:rsid w:val="169311EC"/>
    <w:rsid w:val="16B079F9"/>
    <w:rsid w:val="16EB272A"/>
    <w:rsid w:val="16F7073B"/>
    <w:rsid w:val="16F9128C"/>
    <w:rsid w:val="16FD3BF2"/>
    <w:rsid w:val="17515952"/>
    <w:rsid w:val="17A52D08"/>
    <w:rsid w:val="17B80B79"/>
    <w:rsid w:val="18846FC8"/>
    <w:rsid w:val="18912A5B"/>
    <w:rsid w:val="19505417"/>
    <w:rsid w:val="1A47212C"/>
    <w:rsid w:val="1B5C096F"/>
    <w:rsid w:val="1B841B34"/>
    <w:rsid w:val="1C6D22B3"/>
    <w:rsid w:val="1D505927"/>
    <w:rsid w:val="1D5929B3"/>
    <w:rsid w:val="1DBA3CD2"/>
    <w:rsid w:val="1E9B78AE"/>
    <w:rsid w:val="20E33285"/>
    <w:rsid w:val="20F12DDB"/>
    <w:rsid w:val="21AF16D4"/>
    <w:rsid w:val="227C7B23"/>
    <w:rsid w:val="22896798"/>
    <w:rsid w:val="22E22D4A"/>
    <w:rsid w:val="23AE1199"/>
    <w:rsid w:val="23CE3C4D"/>
    <w:rsid w:val="247A75E9"/>
    <w:rsid w:val="24A274A8"/>
    <w:rsid w:val="24DC4FAE"/>
    <w:rsid w:val="24E02810"/>
    <w:rsid w:val="252E0198"/>
    <w:rsid w:val="26133E87"/>
    <w:rsid w:val="26C47464"/>
    <w:rsid w:val="27DE3507"/>
    <w:rsid w:val="28014BFC"/>
    <w:rsid w:val="289F0C32"/>
    <w:rsid w:val="29A94D9A"/>
    <w:rsid w:val="2A3325E4"/>
    <w:rsid w:val="2AE952F3"/>
    <w:rsid w:val="2C657FCC"/>
    <w:rsid w:val="2C663835"/>
    <w:rsid w:val="2C74067E"/>
    <w:rsid w:val="2CAA2BF1"/>
    <w:rsid w:val="2CE079AD"/>
    <w:rsid w:val="2D763723"/>
    <w:rsid w:val="2E9A30C2"/>
    <w:rsid w:val="2ED8336B"/>
    <w:rsid w:val="2F3E6592"/>
    <w:rsid w:val="2FDA6411"/>
    <w:rsid w:val="30401638"/>
    <w:rsid w:val="30717C09"/>
    <w:rsid w:val="30C37408"/>
    <w:rsid w:val="310D7A87"/>
    <w:rsid w:val="310E5FC1"/>
    <w:rsid w:val="31B04D12"/>
    <w:rsid w:val="31B12793"/>
    <w:rsid w:val="32604EB6"/>
    <w:rsid w:val="33605348"/>
    <w:rsid w:val="356928AF"/>
    <w:rsid w:val="359C6581"/>
    <w:rsid w:val="35AC3993"/>
    <w:rsid w:val="35AD429D"/>
    <w:rsid w:val="35D05C27"/>
    <w:rsid w:val="35FC6BDB"/>
    <w:rsid w:val="36B27C8C"/>
    <w:rsid w:val="37166340"/>
    <w:rsid w:val="38045A76"/>
    <w:rsid w:val="382E45C3"/>
    <w:rsid w:val="386A0C9E"/>
    <w:rsid w:val="38704DA6"/>
    <w:rsid w:val="393670ED"/>
    <w:rsid w:val="3A02553C"/>
    <w:rsid w:val="3A382193"/>
    <w:rsid w:val="3A611FAB"/>
    <w:rsid w:val="3AA64BD0"/>
    <w:rsid w:val="3B2E6A27"/>
    <w:rsid w:val="3B356BB3"/>
    <w:rsid w:val="3B9B1DDA"/>
    <w:rsid w:val="3BD865E0"/>
    <w:rsid w:val="3C015002"/>
    <w:rsid w:val="3C9D4E80"/>
    <w:rsid w:val="3CCD3451"/>
    <w:rsid w:val="3CD13BE4"/>
    <w:rsid w:val="3D1D51DD"/>
    <w:rsid w:val="3EE00A1C"/>
    <w:rsid w:val="3F071A76"/>
    <w:rsid w:val="3F5A4C23"/>
    <w:rsid w:val="4099698A"/>
    <w:rsid w:val="40D554EA"/>
    <w:rsid w:val="40E650B7"/>
    <w:rsid w:val="41BF676C"/>
    <w:rsid w:val="41C631D2"/>
    <w:rsid w:val="43A04842"/>
    <w:rsid w:val="43B754CD"/>
    <w:rsid w:val="43BD29AF"/>
    <w:rsid w:val="43EA0F11"/>
    <w:rsid w:val="443D37DF"/>
    <w:rsid w:val="44C744E6"/>
    <w:rsid w:val="452D770D"/>
    <w:rsid w:val="45310312"/>
    <w:rsid w:val="453B0C21"/>
    <w:rsid w:val="456168E3"/>
    <w:rsid w:val="45F95B5C"/>
    <w:rsid w:val="469C2DE7"/>
    <w:rsid w:val="46C53FAB"/>
    <w:rsid w:val="472B71D3"/>
    <w:rsid w:val="486B42DC"/>
    <w:rsid w:val="48855E27"/>
    <w:rsid w:val="492A6C99"/>
    <w:rsid w:val="4A030B7A"/>
    <w:rsid w:val="4A1B4023"/>
    <w:rsid w:val="4AD34597"/>
    <w:rsid w:val="4B1871BC"/>
    <w:rsid w:val="4B61392A"/>
    <w:rsid w:val="4E561133"/>
    <w:rsid w:val="4E6558AB"/>
    <w:rsid w:val="4F4D2326"/>
    <w:rsid w:val="4FC95799"/>
    <w:rsid w:val="504B29FB"/>
    <w:rsid w:val="505718DF"/>
    <w:rsid w:val="51237D2E"/>
    <w:rsid w:val="51892F55"/>
    <w:rsid w:val="51EF617D"/>
    <w:rsid w:val="525513A4"/>
    <w:rsid w:val="52BC45CC"/>
    <w:rsid w:val="532277F3"/>
    <w:rsid w:val="547734C8"/>
    <w:rsid w:val="548A2B09"/>
    <w:rsid w:val="548A5AC1"/>
    <w:rsid w:val="54F509F0"/>
    <w:rsid w:val="54FE4BE1"/>
    <w:rsid w:val="55567677"/>
    <w:rsid w:val="55BE263A"/>
    <w:rsid w:val="568A7075"/>
    <w:rsid w:val="56E237B3"/>
    <w:rsid w:val="57212282"/>
    <w:rsid w:val="577A4DB9"/>
    <w:rsid w:val="57DF5578"/>
    <w:rsid w:val="58CF6576"/>
    <w:rsid w:val="593254E5"/>
    <w:rsid w:val="5A283B11"/>
    <w:rsid w:val="5B1B0888"/>
    <w:rsid w:val="5B8B17A8"/>
    <w:rsid w:val="5BD043CD"/>
    <w:rsid w:val="5C1F6E31"/>
    <w:rsid w:val="5CB35126"/>
    <w:rsid w:val="5CC10BB9"/>
    <w:rsid w:val="5DE6679D"/>
    <w:rsid w:val="5DF866B7"/>
    <w:rsid w:val="5DFC2C90"/>
    <w:rsid w:val="5EB24BEC"/>
    <w:rsid w:val="5EE81843"/>
    <w:rsid w:val="5F187E14"/>
    <w:rsid w:val="5F4E4A6A"/>
    <w:rsid w:val="5F7E303B"/>
    <w:rsid w:val="5F962806"/>
    <w:rsid w:val="604B148A"/>
    <w:rsid w:val="62974752"/>
    <w:rsid w:val="63222E31"/>
    <w:rsid w:val="63896059"/>
    <w:rsid w:val="63F82E35"/>
    <w:rsid w:val="652203B7"/>
    <w:rsid w:val="66BD7A81"/>
    <w:rsid w:val="66E128D8"/>
    <w:rsid w:val="67102BAC"/>
    <w:rsid w:val="67580AC9"/>
    <w:rsid w:val="677840D0"/>
    <w:rsid w:val="67AF422A"/>
    <w:rsid w:val="67DB6373"/>
    <w:rsid w:val="67DE72F8"/>
    <w:rsid w:val="6844251F"/>
    <w:rsid w:val="68476448"/>
    <w:rsid w:val="68515FB2"/>
    <w:rsid w:val="691B6CFF"/>
    <w:rsid w:val="69763B96"/>
    <w:rsid w:val="69CB63AC"/>
    <w:rsid w:val="6AA9520C"/>
    <w:rsid w:val="6B1C3EC6"/>
    <w:rsid w:val="6BDB6883"/>
    <w:rsid w:val="6BE82315"/>
    <w:rsid w:val="6C0E2555"/>
    <w:rsid w:val="6C4369B9"/>
    <w:rsid w:val="6C6509E5"/>
    <w:rsid w:val="6C6538E5"/>
    <w:rsid w:val="6CB40765"/>
    <w:rsid w:val="6D1A398C"/>
    <w:rsid w:val="6E4833ED"/>
    <w:rsid w:val="6F515C19"/>
    <w:rsid w:val="6F7F6679"/>
    <w:rsid w:val="70057A33"/>
    <w:rsid w:val="702B124D"/>
    <w:rsid w:val="703D35B4"/>
    <w:rsid w:val="70AC5DE7"/>
    <w:rsid w:val="70DA5C42"/>
    <w:rsid w:val="71D67E52"/>
    <w:rsid w:val="723C307A"/>
    <w:rsid w:val="72513F19"/>
    <w:rsid w:val="72717CD1"/>
    <w:rsid w:val="72790F07"/>
    <w:rsid w:val="72A262A2"/>
    <w:rsid w:val="72CF78E3"/>
    <w:rsid w:val="730814C9"/>
    <w:rsid w:val="745E3FF9"/>
    <w:rsid w:val="74707796"/>
    <w:rsid w:val="75070F8F"/>
    <w:rsid w:val="75144A21"/>
    <w:rsid w:val="75D373DE"/>
    <w:rsid w:val="76094035"/>
    <w:rsid w:val="7904051A"/>
    <w:rsid w:val="79472C54"/>
    <w:rsid w:val="7B756C9A"/>
    <w:rsid w:val="7C192FF2"/>
    <w:rsid w:val="7CCC724B"/>
    <w:rsid w:val="7D66524B"/>
    <w:rsid w:val="7E9868C2"/>
    <w:rsid w:val="7EFE1AE9"/>
    <w:rsid w:val="7F30529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200" w:firstLineChars="200"/>
    </w:pPr>
    <w:rPr>
      <w:rFonts w:ascii="Times New Roman" w:hAnsi="Times New Roman" w:eastAsia="宋体" w:cs="Times New Roman"/>
      <w:sz w:val="21"/>
    </w:rPr>
  </w:style>
  <w:style w:type="paragraph" w:styleId="3">
    <w:name w:val="Body Text"/>
    <w:basedOn w:val="1"/>
    <w:qFormat/>
    <w:uiPriority w:val="0"/>
    <w:pPr>
      <w:adjustRightInd/>
      <w:spacing w:line="240" w:lineRule="auto"/>
      <w:textAlignment w:val="auto"/>
    </w:pPr>
    <w:rPr>
      <w:kern w:val="2"/>
      <w:sz w:val="32"/>
    </w:rPr>
  </w:style>
  <w:style w:type="paragraph" w:customStyle="1" w:styleId="6">
    <w:name w:val="样式 行距: 固定值 28.9 磅"/>
    <w:basedOn w:val="1"/>
    <w:qFormat/>
    <w:uiPriority w:val="99"/>
    <w:pPr>
      <w:spacing w:line="578" w:lineRule="exact"/>
    </w:pPr>
    <w:rPr>
      <w:rFonts w:ascii="Times New Roman" w:hAnsi="Times New Roman"/>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4547</Words>
  <Characters>4667</Characters>
  <Lines>0</Lines>
  <Paragraphs>0</Paragraphs>
  <TotalTime>4</TotalTime>
  <ScaleCrop>false</ScaleCrop>
  <LinksUpToDate>false</LinksUpToDate>
  <CharactersWithSpaces>4671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2025-12-03T10:25:00Z</dcterms:created>
  <dc:creator>用户791118295</dc:creator>
  <cp:lastModifiedBy>用户791118295</cp:lastModifiedBy>
  <dcterms:modified xsi:type="dcterms:W3CDTF">2026-03-02T03:33:22Z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ADC659E62444415ABDAF62295E68F569_13</vt:lpwstr>
  </property>
  <property fmtid="{D5CDD505-2E9C-101B-9397-08002B2CF9AE}" pid="4" name="KSOTemplateDocerSaveRecord">
    <vt:lpwstr>eyJoZGlkIjoiZDFhMDlmMTFhZTQ0MWZmYzBlOWUxOTFhMTc2ZTQxZDMiLCJ1c2VySWQiOiI1MDI3ODk4MTMifQ==</vt:lpwstr>
  </property>
  <property fmtid="{D5CDD505-2E9C-101B-9397-08002B2CF9AE}" pid="5" name="woTemplateTypoMode" linkTarget="0">
    <vt:lpwstr>web</vt:lpwstr>
  </property>
  <property fmtid="{D5CDD505-2E9C-101B-9397-08002B2CF9AE}" pid="6" name="woTemplate" linkTarget="0">
    <vt:i4>1</vt:i4>
  </property>
</Properties>
</file>