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0383F4">
      <w:pPr>
        <w:ind w:firstLine="0" w:firstLineChars="0"/>
        <w:jc w:val="center"/>
        <w:rPr>
          <w:rFonts w:ascii="微软雅黑" w:eastAsia="微软雅黑"/>
          <w:sz w:val="44"/>
          <w:szCs w:val="44"/>
        </w:rPr>
      </w:pPr>
    </w:p>
    <w:p w14:paraId="04DDA815">
      <w:pPr>
        <w:ind w:firstLine="0" w:firstLineChars="0"/>
        <w:jc w:val="center"/>
        <w:rPr>
          <w:rFonts w:ascii="微软雅黑" w:eastAsia="微软雅黑"/>
          <w:b/>
          <w:sz w:val="44"/>
          <w:szCs w:val="44"/>
        </w:rPr>
      </w:pPr>
      <w:r>
        <w:rPr>
          <w:rFonts w:hint="eastAsia" w:ascii="微软雅黑" w:eastAsia="微软雅黑"/>
          <w:sz w:val="44"/>
          <w:szCs w:val="44"/>
          <w:lang w:val="en-US" w:eastAsia="zh-CN"/>
        </w:rPr>
        <w:t>东湖区</w:t>
      </w:r>
      <w:r>
        <w:rPr>
          <w:rFonts w:hint="eastAsia" w:ascii="微软雅黑" w:eastAsia="微软雅黑"/>
          <w:sz w:val="44"/>
          <w:szCs w:val="44"/>
        </w:rPr>
        <w:t>2025年民生实事安排方案</w:t>
      </w:r>
    </w:p>
    <w:p w14:paraId="6B838A74">
      <w:pPr>
        <w:ind w:firstLine="0" w:firstLineChars="0"/>
        <w:jc w:val="center"/>
        <w:rPr>
          <w:rFonts w:ascii="楷体_GB2312" w:hAnsi="楷体_GB2312" w:eastAsia="楷体_GB2312" w:cs="楷体_GB2312"/>
          <w:bCs w:val="0"/>
        </w:rPr>
      </w:pPr>
      <w:r>
        <w:rPr>
          <w:rFonts w:hint="eastAsia" w:ascii="楷体_GB2312" w:hAnsi="楷体_GB2312" w:eastAsia="楷体_GB2312" w:cs="楷体_GB2312"/>
          <w:bCs w:val="0"/>
        </w:rPr>
        <w:t>（征求意见稿）</w:t>
      </w:r>
    </w:p>
    <w:p w14:paraId="6DBCF482"/>
    <w:p w14:paraId="00A776FF">
      <w:r>
        <w:rPr>
          <w:rFonts w:hint="eastAsia"/>
        </w:rPr>
        <w:t>为贯彻落实党的二十大和二十届二中、三中全会精神，深入贯彻习近平总书记考察江西重要讲话精神，加强基础性、普惠性、兜底性民生建设，经区委、区政府决定，今年在全面承接落实好省</w:t>
      </w:r>
      <w:r>
        <w:t>7</w:t>
      </w:r>
      <w:r>
        <w:rPr>
          <w:rFonts w:hint="eastAsia"/>
        </w:rPr>
        <w:t>件、市</w:t>
      </w:r>
      <w:r>
        <w:t>2</w:t>
      </w:r>
      <w:r>
        <w:rPr>
          <w:rFonts w:hint="eastAsia"/>
        </w:rPr>
        <w:t>件民生实事的同时，结合我区实际，全力办好区10件民生实事，不断增强人民群众获得感、幸福感和安全感。</w:t>
      </w:r>
    </w:p>
    <w:p w14:paraId="3A0C960B">
      <w:pPr>
        <w:rPr>
          <w:rFonts w:ascii="黑体" w:hAnsi="黑体" w:eastAsia="黑体"/>
        </w:rPr>
      </w:pPr>
      <w:r>
        <w:rPr>
          <w:rFonts w:hint="eastAsia" w:ascii="黑体" w:hAnsi="黑体" w:eastAsia="黑体"/>
        </w:rPr>
        <w:t>一、全面承接落实好省</w:t>
      </w:r>
      <w:r>
        <w:rPr>
          <w:rFonts w:ascii="黑体" w:hAnsi="黑体" w:eastAsia="黑体"/>
        </w:rPr>
        <w:t>7</w:t>
      </w:r>
      <w:r>
        <w:rPr>
          <w:rFonts w:hint="eastAsia" w:ascii="黑体" w:hAnsi="黑体" w:eastAsia="黑体"/>
        </w:rPr>
        <w:t>件民生实事</w:t>
      </w:r>
    </w:p>
    <w:p w14:paraId="449EF412">
      <w:pPr>
        <w:ind w:firstLine="643"/>
        <w:rPr>
          <w:b/>
          <w:bCs w:val="0"/>
        </w:rPr>
      </w:pPr>
      <w:r>
        <w:rPr>
          <w:rFonts w:hint="eastAsia" w:ascii="楷体_GB2312" w:eastAsia="楷体_GB2312"/>
          <w:b/>
        </w:rPr>
        <w:t>（一）加大重点群体就业创业扶持力度。</w:t>
      </w:r>
      <w:r>
        <w:rPr>
          <w:rFonts w:hint="eastAsia"/>
        </w:rPr>
        <w:t>支持毕业2年内未就业</w:t>
      </w:r>
      <w:r>
        <w:rPr>
          <w:rFonts w:hint="eastAsia"/>
          <w:sz w:val="30"/>
          <w:szCs w:val="30"/>
        </w:rPr>
        <w:t>的高校毕业生到区内基层“专精特新”中小企业就业，每人每月给予1000</w:t>
      </w:r>
      <w:r>
        <w:rPr>
          <w:rFonts w:hint="eastAsia"/>
        </w:rPr>
        <w:t>元岗位补贴，补贴期限最长不超过1年。支持大龄失业人员等就业困难人员到乡镇、街道、社区临时摊点经营场所低成本创业，稳定经营6个月的，每人予以不超过5000元的一次性设备补贴。全年安排创业担保贷款担保基金以及新增发放创业担保贷款，支持高校毕业生、就业困难人员、返乡创业农民工、脱贫人口、退捕渔民、退役军人等重点群体使</w:t>
      </w:r>
      <w:bookmarkStart w:id="0" w:name="_GoBack"/>
      <w:bookmarkEnd w:id="0"/>
      <w:r>
        <w:rPr>
          <w:rFonts w:hint="eastAsia"/>
        </w:rPr>
        <w:t>用创业担保贷款创业就业。</w:t>
      </w:r>
      <w:r>
        <w:rPr>
          <w:rFonts w:hint="eastAsia" w:ascii="楷体_GB2312" w:eastAsia="楷体_GB2312"/>
          <w:b/>
        </w:rPr>
        <w:t>（牵头单位：区人社局、区中小企业局、区教体局）</w:t>
      </w:r>
    </w:p>
    <w:p w14:paraId="77DAB6C1">
      <w:pPr>
        <w:ind w:firstLine="643"/>
        <w:rPr>
          <w:rFonts w:ascii="楷体_GB2312" w:eastAsia="楷体_GB2312"/>
          <w:b/>
        </w:rPr>
      </w:pPr>
      <w:r>
        <w:rPr>
          <w:rFonts w:hint="eastAsia" w:ascii="楷体_GB2312" w:eastAsia="楷体_GB2312"/>
          <w:b/>
        </w:rPr>
        <w:t>（二）提高困难群众救助保障水平。</w:t>
      </w:r>
      <w:r>
        <w:rPr>
          <w:rFonts w:hint="eastAsia"/>
        </w:rPr>
        <w:t>提高城乡低保对象、特困人员月人均保障标准和财政补差。特困失能人员、半失能人员、自理人员照料护理补助标准分别按每人每月1600元、400元、110元落实。对于18岁前已纳入孤儿、事实无人抚养儿童基本生活保障范围，年满18周岁后在学制规定年限内仍在全日制高中和大学阶段连续就读的，可延续享受基本生活补贴政策。定期为孤儿、事实无人抚养儿童、重点流动儿童及留守儿童等提供监护状况和心理健康评估、探视巡访和心理疏导以及心理干预个案等服务。</w:t>
      </w:r>
      <w:r>
        <w:rPr>
          <w:rFonts w:hint="eastAsia" w:ascii="楷体_GB2312" w:eastAsia="楷体_GB2312"/>
          <w:b/>
        </w:rPr>
        <w:t>（牵头单位：区民政局、区委宣传部（文明办）、团区委、区妇联、区红十字会）</w:t>
      </w:r>
    </w:p>
    <w:p w14:paraId="3E03B5B0">
      <w:pPr>
        <w:ind w:firstLine="643"/>
        <w:rPr>
          <w:rFonts w:ascii="楷体_GB2312" w:eastAsia="楷体_GB2312"/>
          <w:b/>
        </w:rPr>
      </w:pPr>
      <w:r>
        <w:rPr>
          <w:rFonts w:hint="eastAsia" w:ascii="楷体_GB2312" w:eastAsia="楷体_GB2312"/>
          <w:b/>
        </w:rPr>
        <w:t>（三</w:t>
      </w:r>
      <w:r>
        <w:rPr>
          <w:rFonts w:ascii="楷体_GB2312" w:eastAsia="楷体_GB2312"/>
          <w:b/>
        </w:rPr>
        <w:t>）</w:t>
      </w:r>
      <w:r>
        <w:rPr>
          <w:rFonts w:hint="eastAsia" w:ascii="楷体_GB2312" w:eastAsia="楷体_GB2312"/>
          <w:b/>
        </w:rPr>
        <w:t>提升残疾人关爱服务水平。</w:t>
      </w:r>
      <w:r>
        <w:rPr>
          <w:rFonts w:hint="eastAsia"/>
        </w:rPr>
        <w:t>将城乡困难残疾人生活补贴标准、城乡重度残疾人护理补贴标准分别提高10元，均达到每人每月110元。0-7岁（不满8周岁）残疾儿童康复救助标准为每人每年2万元，享受0-7岁接受基本康复训练不设年限的全程救助，实现0-7岁有需求的残疾儿童接受基本康复训练全覆盖。根据区域经济水平和残疾人类别、程度、特点及需求，对45户以上困难重度残疾人家庭实施无障碍改造。</w:t>
      </w:r>
      <w:r>
        <w:rPr>
          <w:rFonts w:hint="eastAsia" w:ascii="楷体_GB2312" w:eastAsia="楷体_GB2312"/>
          <w:b/>
        </w:rPr>
        <w:t>(牵头单位：区民政局、区残联)</w:t>
      </w:r>
    </w:p>
    <w:p w14:paraId="3CEF125C">
      <w:pPr>
        <w:ind w:firstLine="643"/>
        <w:rPr>
          <w:rFonts w:ascii="楷体_GB2312" w:eastAsia="楷体_GB2312"/>
          <w:b/>
        </w:rPr>
      </w:pPr>
      <w:r>
        <w:rPr>
          <w:rFonts w:hint="eastAsia" w:ascii="楷体_GB2312" w:eastAsia="楷体_GB2312"/>
          <w:b/>
        </w:rPr>
        <w:t>（四</w:t>
      </w:r>
      <w:r>
        <w:rPr>
          <w:rFonts w:ascii="楷体_GB2312" w:eastAsia="楷体_GB2312"/>
          <w:b/>
        </w:rPr>
        <w:t>）</w:t>
      </w:r>
      <w:r>
        <w:rPr>
          <w:rFonts w:hint="eastAsia" w:ascii="楷体_GB2312" w:eastAsia="楷体_GB2312"/>
          <w:b/>
        </w:rPr>
        <w:t>开展肺癌筛查和早期干预。</w:t>
      </w:r>
      <w:r>
        <w:rPr>
          <w:rFonts w:hint="eastAsia"/>
        </w:rPr>
        <w:t>普及肺癌防治科普知识，加强环境健康风险管理和区域致癌危险因素控制，推进全民健康生活方式。对50-74岁肺癌高危人群开展重点筛查，对发现的高危人群进行随访，对发现的癌前病变患者及肺癌患者及时引导至正规医院就诊，对符合条件的困难群众按规定予以救助，提升肺癌防治服务能力。</w:t>
      </w:r>
      <w:r>
        <w:rPr>
          <w:rFonts w:hint="eastAsia" w:ascii="楷体_GB2312" w:eastAsia="楷体_GB2312"/>
          <w:b/>
        </w:rPr>
        <w:t>（牵头单位：区卫健委、区医保局、区民政局）</w:t>
      </w:r>
    </w:p>
    <w:p w14:paraId="1EF64E48">
      <w:pPr>
        <w:ind w:firstLine="643"/>
        <w:rPr>
          <w:rFonts w:ascii="楷体_GB2312" w:eastAsia="楷体_GB2312"/>
          <w:b/>
        </w:rPr>
      </w:pPr>
      <w:r>
        <w:rPr>
          <w:rFonts w:hint="eastAsia" w:ascii="楷体_GB2312" w:eastAsia="楷体_GB2312"/>
          <w:b/>
        </w:rPr>
        <w:t>（五</w:t>
      </w:r>
      <w:r>
        <w:rPr>
          <w:rFonts w:ascii="楷体_GB2312" w:eastAsia="楷体_GB2312"/>
          <w:b/>
        </w:rPr>
        <w:t>）</w:t>
      </w:r>
      <w:r>
        <w:rPr>
          <w:rFonts w:hint="eastAsia" w:ascii="楷体_GB2312" w:eastAsia="楷体_GB2312"/>
          <w:b/>
        </w:rPr>
        <w:t>推进普惠托育服务体系建设。</w:t>
      </w:r>
      <w:r>
        <w:rPr>
          <w:rFonts w:hint="eastAsia"/>
        </w:rPr>
        <w:t>在统筹用好现有托位的基础上，通过新建、改扩建嵌入式托育服务设施等形式，提供全日托、半日托、计时托、临时托等多样化服务，推动城市社区托育服务机构覆盖率达50%以上。鼓励向有意愿入托的0-3岁婴幼儿家庭发放托育服务消费券，减轻群众托育服务费用负担。</w:t>
      </w:r>
      <w:r>
        <w:rPr>
          <w:rFonts w:hint="eastAsia" w:ascii="楷体_GB2312" w:eastAsia="楷体_GB2312"/>
          <w:b/>
        </w:rPr>
        <w:t>(牵头单位：区卫健委)</w:t>
      </w:r>
    </w:p>
    <w:p w14:paraId="422FC8F0">
      <w:pPr>
        <w:ind w:firstLine="643"/>
        <w:rPr>
          <w:rFonts w:ascii="楷体_GB2312" w:eastAsia="楷体_GB2312"/>
          <w:b/>
        </w:rPr>
      </w:pPr>
      <w:r>
        <w:rPr>
          <w:rFonts w:hint="eastAsia" w:ascii="楷体_GB2312" w:eastAsia="楷体_GB2312"/>
          <w:b/>
        </w:rPr>
        <w:t>（</w:t>
      </w:r>
      <w:r>
        <w:rPr>
          <w:rFonts w:ascii="楷体_GB2312" w:eastAsia="楷体_GB2312"/>
          <w:b/>
        </w:rPr>
        <w:t>六</w:t>
      </w:r>
      <w:r>
        <w:rPr>
          <w:rFonts w:hint="eastAsia" w:ascii="楷体_GB2312" w:eastAsia="楷体_GB2312"/>
          <w:b/>
        </w:rPr>
        <w:t>）开展食品安全“你点我检”“你送我检”工作。</w:t>
      </w:r>
      <w:r>
        <w:rPr>
          <w:rFonts w:hint="eastAsia"/>
        </w:rPr>
        <w:t>开展食品安全“你点我检</w:t>
      </w:r>
      <w:r>
        <w:rPr>
          <w:rFonts w:hint="eastAsia"/>
          <w:lang w:eastAsia="zh-CN"/>
        </w:rPr>
        <w:t>”“</w:t>
      </w:r>
      <w:r>
        <w:rPr>
          <w:rFonts w:hint="eastAsia"/>
        </w:rPr>
        <w:t>你送我检”活动，向社会公开征集需要重点抽检的食品区域和品类，组织全区开展食品安全便民服务活动11场，满足430人次食品抽检需求。</w:t>
      </w:r>
      <w:r>
        <w:rPr>
          <w:rFonts w:hint="eastAsia" w:ascii="楷体_GB2312" w:eastAsia="楷体_GB2312"/>
          <w:b/>
        </w:rPr>
        <w:t>(牵头单位：区市场监管局)</w:t>
      </w:r>
    </w:p>
    <w:p w14:paraId="5B7C4746">
      <w:pPr>
        <w:ind w:firstLine="643"/>
        <w:rPr>
          <w:rFonts w:ascii="楷体_GB2312" w:eastAsia="楷体_GB2312"/>
          <w:b/>
        </w:rPr>
      </w:pPr>
      <w:r>
        <w:rPr>
          <w:rFonts w:hint="eastAsia" w:ascii="楷体_GB2312" w:eastAsia="楷体_GB2312"/>
          <w:b/>
        </w:rPr>
        <w:t>（</w:t>
      </w:r>
      <w:r>
        <w:rPr>
          <w:rFonts w:ascii="楷体_GB2312" w:eastAsia="楷体_GB2312"/>
          <w:b/>
        </w:rPr>
        <w:t>七</w:t>
      </w:r>
      <w:r>
        <w:rPr>
          <w:rFonts w:hint="eastAsia" w:ascii="楷体_GB2312" w:eastAsia="楷体_GB2312"/>
          <w:b/>
        </w:rPr>
        <w:t>）推进口袋体育公园建设。</w:t>
      </w:r>
      <w:r>
        <w:rPr>
          <w:rFonts w:hint="eastAsia" w:eastAsia="楷体_GB2312"/>
        </w:rPr>
        <w:t>我区已向市体育局申报建设1个口袋体育公园，拟</w:t>
      </w:r>
      <w:r>
        <w:rPr>
          <w:rFonts w:hint="eastAsia"/>
        </w:rPr>
        <w:t>结合我区社区嵌入式体育场馆项目在董家窑街道，南铁西货场与青山南路交叉口点位建设。</w:t>
      </w:r>
      <w:r>
        <w:rPr>
          <w:rFonts w:hint="eastAsia" w:ascii="楷体_GB2312" w:eastAsia="楷体_GB2312"/>
          <w:b/>
        </w:rPr>
        <w:t xml:space="preserve">（牵头单位：区教体局）   </w:t>
      </w:r>
    </w:p>
    <w:p w14:paraId="7654323B">
      <w:pPr>
        <w:ind w:firstLine="643"/>
        <w:rPr>
          <w:rFonts w:ascii="黑体" w:hAnsi="黑体" w:eastAsia="黑体"/>
        </w:rPr>
      </w:pPr>
      <w:r>
        <w:rPr>
          <w:rFonts w:hint="eastAsia" w:ascii="楷体_GB2312" w:eastAsia="楷体_GB2312"/>
          <w:b/>
        </w:rPr>
        <w:t>二、</w:t>
      </w:r>
      <w:r>
        <w:rPr>
          <w:rFonts w:hint="eastAsia" w:ascii="黑体" w:hAnsi="黑体" w:eastAsia="黑体"/>
        </w:rPr>
        <w:t>全面承接落实好市</w:t>
      </w:r>
      <w:r>
        <w:rPr>
          <w:rFonts w:ascii="黑体" w:hAnsi="黑体" w:eastAsia="黑体"/>
        </w:rPr>
        <w:t>2</w:t>
      </w:r>
      <w:r>
        <w:rPr>
          <w:rFonts w:hint="eastAsia" w:ascii="黑体" w:hAnsi="黑体" w:eastAsia="黑体"/>
        </w:rPr>
        <w:t>件民生实事</w:t>
      </w:r>
    </w:p>
    <w:p w14:paraId="1C206ADC">
      <w:pPr>
        <w:ind w:firstLine="643"/>
        <w:rPr>
          <w:rFonts w:ascii="楷体_GB2312" w:eastAsia="楷体_GB2312"/>
          <w:b/>
        </w:rPr>
      </w:pPr>
      <w:r>
        <w:rPr>
          <w:rFonts w:hint="eastAsia" w:ascii="楷体_GB2312" w:eastAsia="楷体_GB2312"/>
          <w:b/>
        </w:rPr>
        <w:t>（一）建设社区嵌入式体育场馆。</w:t>
      </w:r>
      <w:r>
        <w:rPr>
          <w:rFonts w:hint="eastAsia"/>
        </w:rPr>
        <w:t>为方便群众开展足球、篮球、羽毛球、乒乓球等多元化健身活动。根据前期工作安排，我区拟新建社区嵌入式体育场1个，位于董家窑街道，南铁西货场与青山南路交叉口。</w:t>
      </w:r>
      <w:r>
        <w:rPr>
          <w:rFonts w:hint="eastAsia"/>
          <w:color w:val="auto"/>
        </w:rPr>
        <w:t>整体面积约</w:t>
      </w:r>
      <w:r>
        <w:rPr>
          <w:color w:val="auto"/>
        </w:rPr>
        <w:t>10亩，</w:t>
      </w:r>
      <w:r>
        <w:rPr>
          <w:rFonts w:hint="eastAsia"/>
          <w:color w:val="auto"/>
        </w:rPr>
        <w:t>确定东湖区嵌入式体育场馆室外布局为“两篮一足”。</w:t>
      </w:r>
      <w:r>
        <w:rPr>
          <w:rFonts w:hint="eastAsia" w:ascii="楷体_GB2312" w:eastAsia="楷体_GB2312"/>
          <w:b/>
        </w:rPr>
        <w:t>（牵头单位：区教体局）</w:t>
      </w:r>
    </w:p>
    <w:p w14:paraId="4C31B4BF">
      <w:pPr>
        <w:ind w:firstLine="643"/>
        <w:rPr>
          <w:rFonts w:ascii="楷体_GB2312" w:eastAsia="楷体_GB2312"/>
          <w:b/>
        </w:rPr>
      </w:pPr>
      <w:r>
        <w:rPr>
          <w:rFonts w:hint="eastAsia" w:ascii="楷体_GB2312" w:eastAsia="楷体_GB2312"/>
          <w:b/>
        </w:rPr>
        <w:t>（</w:t>
      </w:r>
      <w:r>
        <w:rPr>
          <w:rFonts w:ascii="楷体_GB2312" w:eastAsia="楷体_GB2312"/>
          <w:b/>
        </w:rPr>
        <w:t>二</w:t>
      </w:r>
      <w:r>
        <w:rPr>
          <w:rFonts w:hint="eastAsia" w:ascii="楷体_GB2312" w:eastAsia="楷体_GB2312"/>
          <w:b/>
        </w:rPr>
        <w:t>）畅通微循环道路攻坚行动。</w:t>
      </w:r>
      <w:r>
        <w:rPr>
          <w:rFonts w:hint="eastAsia" w:hAnsiTheme="minorHAnsi"/>
          <w:bCs w:val="0"/>
          <w:kern w:val="0"/>
        </w:rPr>
        <w:t>贯彻市委、市政府对</w:t>
      </w:r>
      <w:r>
        <w:rPr>
          <w:rFonts w:hint="eastAsia" w:ascii="TimesNewRomanPSMT" w:eastAsia="TimesNewRomanPSMT" w:cs="TimesNewRomanPSMT" w:hAnsiTheme="minorHAnsi"/>
          <w:bCs w:val="0"/>
          <w:kern w:val="0"/>
        </w:rPr>
        <w:t>“</w:t>
      </w:r>
      <w:r>
        <w:rPr>
          <w:rFonts w:hint="eastAsia" w:hAnsiTheme="minorHAnsi"/>
          <w:bCs w:val="0"/>
          <w:kern w:val="0"/>
        </w:rPr>
        <w:t>畅通南昌</w:t>
      </w:r>
      <w:r>
        <w:rPr>
          <w:rFonts w:hint="eastAsia" w:ascii="TimesNewRomanPSMT" w:eastAsia="TimesNewRomanPSMT" w:cs="TimesNewRomanPSMT" w:hAnsiTheme="minorHAnsi"/>
          <w:bCs w:val="0"/>
          <w:kern w:val="0"/>
        </w:rPr>
        <w:t>”</w:t>
      </w:r>
      <w:r>
        <w:rPr>
          <w:rFonts w:hint="eastAsia" w:hAnsiTheme="minorHAnsi"/>
          <w:bCs w:val="0"/>
          <w:kern w:val="0"/>
        </w:rPr>
        <w:t>建设的工作部署，落实畅通微循环道路攻坚行动</w:t>
      </w:r>
      <w:r>
        <w:rPr>
          <w:rFonts w:hint="eastAsia"/>
        </w:rPr>
        <w:t>，加快推进我区辖区内畅通微循环道路建设项目1个。</w:t>
      </w:r>
      <w:r>
        <w:rPr>
          <w:rFonts w:hint="eastAsia"/>
          <w:color w:val="auto"/>
        </w:rPr>
        <w:t>项目为东湖区原省图书馆北侧规划路道路建设项目，省图书馆北侧规划路为东西向城市支路，</w:t>
      </w:r>
      <w:r>
        <w:rPr>
          <w:color w:val="auto"/>
        </w:rPr>
        <w:t>省图书馆住宅小区东侧路段全段约110m</w:t>
      </w:r>
      <w:r>
        <w:rPr>
          <w:rFonts w:hint="eastAsia"/>
          <w:color w:val="auto"/>
        </w:rPr>
        <w:t>。计划在</w:t>
      </w:r>
      <w:r>
        <w:rPr>
          <w:color w:val="auto"/>
        </w:rPr>
        <w:t>2025年9月开工，11月底完工。</w:t>
      </w:r>
      <w:r>
        <w:rPr>
          <w:rFonts w:hint="eastAsia" w:ascii="楷体_GB2312" w:eastAsia="楷体_GB2312"/>
          <w:b/>
        </w:rPr>
        <w:t>（牵头单位：区住建局）</w:t>
      </w:r>
    </w:p>
    <w:p w14:paraId="17111BD6">
      <w:pPr>
        <w:rPr>
          <w:rFonts w:ascii="黑体" w:hAnsi="黑体" w:eastAsia="黑体"/>
        </w:rPr>
      </w:pPr>
      <w:r>
        <w:rPr>
          <w:rFonts w:hint="eastAsia" w:ascii="黑体" w:hAnsi="黑体" w:eastAsia="黑体"/>
        </w:rPr>
        <w:t>三、全力办好区10件民生实事</w:t>
      </w:r>
    </w:p>
    <w:p w14:paraId="18D466AF">
      <w:pPr>
        <w:pStyle w:val="2"/>
        <w:spacing w:before="148" w:line="229" w:lineRule="auto"/>
        <w:ind w:left="44" w:right="119" w:firstLine="643"/>
        <w:rPr>
          <w:rFonts w:ascii="楷体_GB2312" w:hAnsi="仿宋_GB2312" w:eastAsia="楷体_GB2312" w:cs="仿宋_GB2312"/>
          <w:b/>
          <w:sz w:val="32"/>
          <w:szCs w:val="32"/>
          <w:lang w:eastAsia="zh-CN"/>
        </w:rPr>
      </w:pPr>
      <w:r>
        <w:rPr>
          <w:rFonts w:hint="eastAsia" w:ascii="楷体_GB2312" w:hAnsi="仿宋_GB2312" w:eastAsia="楷体_GB2312" w:cs="仿宋_GB2312"/>
          <w:b/>
          <w:sz w:val="32"/>
          <w:szCs w:val="32"/>
          <w:lang w:eastAsia="zh-CN"/>
        </w:rPr>
        <w:t>（一）东湖区医疗和公共卫生能力提升工程项目。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该项目位于东湖区证券街以东，二七北路以北地块，新建1栋11层门急诊住院楼、1栋5层公共卫生检验及后勤楼、地下室及相关配套工程。总用地面积8735.2㎡，总建筑面积28062.43㎡，其中，地上建筑面积16738.34㎡，地下建筑面积11324.09㎡，总投资约2.19亿元。</w:t>
      </w:r>
      <w:r>
        <w:rPr>
          <w:rFonts w:hint="eastAsia" w:ascii="楷体_GB2312" w:hAnsi="仿宋_GB2312" w:eastAsia="楷体_GB2312" w:cs="仿宋_GB2312"/>
          <w:b/>
          <w:sz w:val="32"/>
          <w:szCs w:val="32"/>
          <w:lang w:eastAsia="zh-CN"/>
        </w:rPr>
        <w:t>（责任单位：区卫健委、区城投公司）</w:t>
      </w:r>
    </w:p>
    <w:p w14:paraId="2F1BF0C3">
      <w:pPr>
        <w:pStyle w:val="2"/>
        <w:spacing w:before="26" w:line="232" w:lineRule="auto"/>
        <w:ind w:left="4" w:firstLine="643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楷体_GB2312" w:hAnsi="仿宋_GB2312" w:eastAsia="楷体_GB2312" w:cs="仿宋_GB2312"/>
          <w:b/>
          <w:sz w:val="32"/>
          <w:szCs w:val="32"/>
          <w:lang w:eastAsia="zh-CN"/>
        </w:rPr>
        <w:t>（二）</w:t>
      </w:r>
      <w:r>
        <w:rPr>
          <w:rFonts w:hint="eastAsia" w:ascii="楷体_GB2312" w:hAnsi="仿宋_GB2312" w:eastAsia="楷体_GB2312" w:cs="仿宋_GB2312"/>
          <w:b/>
          <w:sz w:val="32"/>
          <w:szCs w:val="32"/>
          <w:lang w:val="en-US" w:eastAsia="zh-CN"/>
        </w:rPr>
        <w:t>东湖区</w:t>
      </w:r>
      <w:r>
        <w:rPr>
          <w:rFonts w:hint="eastAsia" w:ascii="楷体_GB2312" w:hAnsi="仿宋_GB2312" w:eastAsia="楷体_GB2312" w:cs="仿宋_GB2312"/>
          <w:b/>
          <w:sz w:val="32"/>
          <w:szCs w:val="32"/>
          <w:lang w:eastAsia="zh-CN"/>
        </w:rPr>
        <w:t>区域性养老中心（</w:t>
      </w:r>
      <w:r>
        <w:rPr>
          <w:rFonts w:hint="eastAsia" w:ascii="楷体_GB2312" w:hAnsi="仿宋_GB2312" w:eastAsia="楷体_GB2312" w:cs="仿宋_GB2312"/>
          <w:b/>
          <w:sz w:val="32"/>
          <w:szCs w:val="32"/>
          <w:lang w:val="en-US" w:eastAsia="zh-CN"/>
        </w:rPr>
        <w:t>一期</w:t>
      </w:r>
      <w:r>
        <w:rPr>
          <w:rFonts w:hint="eastAsia" w:ascii="楷体_GB2312" w:hAnsi="仿宋_GB2312" w:eastAsia="楷体_GB2312" w:cs="仿宋_GB2312"/>
          <w:b/>
          <w:sz w:val="32"/>
          <w:szCs w:val="32"/>
          <w:lang w:eastAsia="zh-CN"/>
        </w:rPr>
        <w:t>）建设项目。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该项目是一所集养老、康养于一体的医养结合型综合性养老服务中心，总建筑面积35411.75m²,建设床位数500床，设有自理楼、半自理楼、失能失智老人照护楼、老年人活动中心等，总投资约1.89亿元。</w:t>
      </w:r>
      <w:r>
        <w:rPr>
          <w:rFonts w:hint="eastAsia" w:ascii="楷体_GB2312" w:hAnsi="仿宋_GB2312" w:eastAsia="楷体_GB2312" w:cs="仿宋_GB2312"/>
          <w:b/>
          <w:sz w:val="32"/>
          <w:szCs w:val="32"/>
          <w:lang w:eastAsia="zh-CN"/>
        </w:rPr>
        <w:t>（责任单位：区民政局、区城投公司）</w:t>
      </w:r>
    </w:p>
    <w:p w14:paraId="7756827F">
      <w:pPr>
        <w:pStyle w:val="2"/>
        <w:spacing w:before="23" w:line="229" w:lineRule="auto"/>
        <w:ind w:left="26" w:right="119" w:firstLine="643"/>
        <w:rPr>
          <w:rFonts w:ascii="楷体_GB2312" w:hAnsi="仿宋_GB2312" w:eastAsia="楷体_GB2312" w:cs="仿宋_GB2312"/>
          <w:b/>
          <w:sz w:val="32"/>
          <w:szCs w:val="32"/>
          <w:lang w:eastAsia="zh-CN"/>
        </w:rPr>
      </w:pPr>
      <w:r>
        <w:rPr>
          <w:rFonts w:hint="eastAsia" w:ascii="楷体_GB2312" w:hAnsi="仿宋_GB2312" w:eastAsia="楷体_GB2312" w:cs="仿宋_GB2312"/>
          <w:b/>
          <w:sz w:val="32"/>
          <w:szCs w:val="32"/>
          <w:lang w:eastAsia="zh-CN"/>
        </w:rPr>
        <w:t>（三）龙沙湾露天泳场建设项目。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该项目位于南昌市东湖区扬子洲镇以西三联滩头，建设露天泳场、科学布局阳光沙滩、疏林草地以及完善周边路网、公共服务配套等，总规模约70亩（其中水域面积31亩、路域面积39亩），工程总方量约3.45万立方，总投资约620万元。</w:t>
      </w:r>
      <w:r>
        <w:rPr>
          <w:rFonts w:hint="eastAsia" w:ascii="楷体_GB2312" w:hAnsi="仿宋_GB2312" w:eastAsia="楷体_GB2312" w:cs="仿宋_GB2312"/>
          <w:b/>
          <w:sz w:val="32"/>
          <w:szCs w:val="32"/>
          <w:lang w:eastAsia="zh-CN"/>
        </w:rPr>
        <w:t>（责任单位：</w:t>
      </w:r>
      <w:r>
        <w:rPr>
          <w:rFonts w:ascii="楷体_GB2312" w:hAnsi="仿宋_GB2312" w:eastAsia="楷体_GB2312" w:cs="仿宋_GB2312"/>
          <w:b/>
          <w:sz w:val="32"/>
          <w:szCs w:val="32"/>
          <w:lang w:eastAsia="zh-CN"/>
        </w:rPr>
        <w:t>东控公司、</w:t>
      </w:r>
      <w:r>
        <w:rPr>
          <w:rFonts w:hint="eastAsia" w:ascii="楷体_GB2312" w:hAnsi="仿宋_GB2312" w:eastAsia="楷体_GB2312" w:cs="仿宋_GB2312"/>
          <w:b/>
          <w:sz w:val="32"/>
          <w:szCs w:val="32"/>
          <w:lang w:eastAsia="zh-CN"/>
        </w:rPr>
        <w:t>区教体局、扬子洲镇）</w:t>
      </w:r>
    </w:p>
    <w:p w14:paraId="76929EAE">
      <w:pPr>
        <w:pStyle w:val="2"/>
        <w:spacing w:before="75" w:line="228" w:lineRule="auto"/>
        <w:ind w:left="32" w:right="123" w:firstLine="643"/>
        <w:rPr>
          <w:rFonts w:ascii="楷体_GB2312" w:hAnsi="仿宋_GB2312" w:eastAsia="楷体_GB2312" w:cs="仿宋_GB2312"/>
          <w:b/>
          <w:sz w:val="32"/>
          <w:szCs w:val="32"/>
          <w:lang w:eastAsia="zh-CN"/>
        </w:rPr>
      </w:pPr>
      <w:r>
        <w:rPr>
          <w:rFonts w:hint="eastAsia" w:ascii="楷体_GB2312" w:hAnsi="仿宋_GB2312" w:eastAsia="楷体_GB2312" w:cs="仿宋_GB2312"/>
          <w:b/>
          <w:sz w:val="32"/>
          <w:szCs w:val="32"/>
          <w:lang w:eastAsia="zh-CN"/>
        </w:rPr>
        <w:t>（四）公办学校教室逐步配置空调项目。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进一步改善区属中小学校教学条件，根据区属中小学校校区实际情况，计划逐步为区属中小学校配置空调，通过2～3年实施，各校作为教室空调安装申请人，完成区属中小学教室的空调配置工作，投资约990万元。</w:t>
      </w:r>
      <w:r>
        <w:rPr>
          <w:rFonts w:hint="eastAsia" w:ascii="楷体_GB2312" w:hAnsi="仿宋_GB2312" w:eastAsia="楷体_GB2312" w:cs="仿宋_GB2312"/>
          <w:b/>
          <w:sz w:val="32"/>
          <w:szCs w:val="32"/>
          <w:lang w:eastAsia="zh-CN"/>
        </w:rPr>
        <w:t>（责任单位：区教体局）</w:t>
      </w:r>
    </w:p>
    <w:p w14:paraId="2E52E9CA">
      <w:pPr>
        <w:pStyle w:val="2"/>
        <w:spacing w:before="75" w:line="226" w:lineRule="auto"/>
        <w:ind w:left="34" w:right="119" w:firstLine="643"/>
        <w:rPr>
          <w:rFonts w:ascii="楷体_GB2312" w:hAnsi="仿宋_GB2312" w:eastAsia="楷体_GB2312" w:cs="仿宋_GB2312"/>
          <w:b/>
          <w:sz w:val="32"/>
          <w:szCs w:val="32"/>
          <w:lang w:eastAsia="zh-CN"/>
        </w:rPr>
      </w:pPr>
      <w:r>
        <w:rPr>
          <w:rFonts w:hint="eastAsia" w:ascii="楷体_GB2312" w:hAnsi="仿宋_GB2312" w:eastAsia="楷体_GB2312" w:cs="仿宋_GB2312"/>
          <w:b/>
          <w:sz w:val="32"/>
          <w:szCs w:val="32"/>
          <w:lang w:eastAsia="zh-CN"/>
        </w:rPr>
        <w:t>（五）既有住宅加装电梯和老旧电梯更新项目。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计划新增既有住宅加装电梯10台，投资约428万元；老旧电梯更新112台，投资约1680万元，合计投资约2108万元。</w:t>
      </w:r>
      <w:r>
        <w:rPr>
          <w:rFonts w:hint="eastAsia" w:ascii="楷体_GB2312" w:hAnsi="仿宋_GB2312" w:eastAsia="楷体_GB2312" w:cs="仿宋_GB2312"/>
          <w:b/>
          <w:sz w:val="32"/>
          <w:szCs w:val="32"/>
          <w:lang w:eastAsia="zh-CN"/>
        </w:rPr>
        <w:t>（责任单位：区住建局、区市场监管局）</w:t>
      </w:r>
    </w:p>
    <w:p w14:paraId="1C30ECE9">
      <w:pPr>
        <w:pStyle w:val="2"/>
        <w:spacing w:before="148" w:line="229" w:lineRule="auto"/>
        <w:ind w:left="63" w:right="95" w:firstLine="643"/>
        <w:rPr>
          <w:rFonts w:ascii="楷体_GB2312" w:hAnsi="仿宋_GB2312" w:eastAsia="楷体_GB2312" w:cs="仿宋_GB2312"/>
          <w:b/>
          <w:sz w:val="32"/>
          <w:szCs w:val="32"/>
          <w:lang w:eastAsia="zh-CN"/>
        </w:rPr>
      </w:pPr>
      <w:r>
        <w:rPr>
          <w:rFonts w:hint="eastAsia" w:ascii="楷体_GB2312" w:hAnsi="仿宋_GB2312" w:eastAsia="楷体_GB2312" w:cs="仿宋_GB2312"/>
          <w:b/>
          <w:sz w:val="32"/>
          <w:szCs w:val="32"/>
          <w:lang w:eastAsia="zh-CN"/>
        </w:rPr>
        <w:t>（六）楼宇电梯内安装电动自行车智能阻止系统项目。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为有效解决电动自行车违规进楼入户停放、充电等问题，计划安装电动自行车智能阻止系统870个，每个阻止系统相关费用约600元，预计总投资52.2万元。</w:t>
      </w:r>
      <w:r>
        <w:rPr>
          <w:rFonts w:hint="eastAsia" w:ascii="楷体_GB2312" w:hAnsi="仿宋_GB2312" w:eastAsia="楷体_GB2312" w:cs="仿宋_GB2312"/>
          <w:b/>
          <w:sz w:val="32"/>
          <w:szCs w:val="32"/>
          <w:lang w:eastAsia="zh-CN"/>
        </w:rPr>
        <w:t>（责任单位：东湖消防救援大队、区市场监管局）</w:t>
      </w:r>
    </w:p>
    <w:p w14:paraId="76FC45D0">
      <w:pPr>
        <w:ind w:firstLine="643"/>
        <w:rPr>
          <w:rFonts w:ascii="楷体_GB2312" w:eastAsia="楷体_GB2312"/>
          <w:b/>
        </w:rPr>
      </w:pPr>
      <w:r>
        <w:rPr>
          <w:rFonts w:hint="eastAsia" w:ascii="楷体_GB2312" w:eastAsia="楷体_GB2312"/>
          <w:b/>
        </w:rPr>
        <w:t>（七）提升居家养老服务能力和打造社区老年助餐点建设项目。</w:t>
      </w:r>
      <w:r>
        <w:rPr>
          <w:rFonts w:hint="eastAsia"/>
        </w:rPr>
        <w:t>为有需求的特殊困难的失能、部分失能老年人提供居家养老上门服务。发展老年助餐服务，对在老年助餐服务机构（助餐点）用餐的老年人，分类给予差异化用餐补贴。计划在全区打造3个助餐点，每个助餐点位在100∽200</w:t>
      </w:r>
      <w:r>
        <w:rPr>
          <w:rFonts w:hint="eastAsia"/>
          <w:lang w:eastAsia="zh-CN"/>
        </w:rPr>
        <w:t>平方米</w:t>
      </w:r>
      <w:r>
        <w:rPr>
          <w:rFonts w:hint="eastAsia"/>
        </w:rPr>
        <w:t>，配套厨房、就餐区、餐饮行业所需的必要设施设备，同时设置满足老年人所需要的适老化改造，投资约150万元。依托城市居家养老服务中心、农村颐养之家、“一老一小”幸福院、社会餐饮机构等，结合老年人数合理选择助餐点地址，建成并运营2个城乡老年助餐点</w:t>
      </w:r>
      <w:r>
        <w:rPr>
          <w:rFonts w:hint="eastAsia"/>
          <w:lang w:eastAsia="zh-CN"/>
        </w:rPr>
        <w:t>。</w:t>
      </w:r>
      <w:r>
        <w:rPr>
          <w:rFonts w:hint="eastAsia" w:ascii="楷体_GB2312" w:eastAsia="楷体_GB2312"/>
          <w:b/>
        </w:rPr>
        <w:t>（责任单位：区民政局、区卫健委）</w:t>
      </w:r>
    </w:p>
    <w:p w14:paraId="1C3D7B6E">
      <w:pPr>
        <w:pStyle w:val="2"/>
        <w:spacing w:before="75" w:line="228" w:lineRule="auto"/>
        <w:ind w:left="37" w:right="100" w:firstLine="643"/>
        <w:rPr>
          <w:rFonts w:ascii="楷体_GB2312" w:hAnsi="仿宋_GB2312" w:eastAsia="楷体_GB2312" w:cs="仿宋_GB2312"/>
          <w:b/>
          <w:sz w:val="32"/>
          <w:szCs w:val="32"/>
          <w:lang w:eastAsia="zh-CN"/>
        </w:rPr>
      </w:pPr>
      <w:r>
        <w:rPr>
          <w:rFonts w:hint="eastAsia" w:ascii="楷体_GB2312" w:hAnsi="仿宋_GB2312" w:eastAsia="楷体_GB2312" w:cs="仿宋_GB2312"/>
          <w:b/>
          <w:sz w:val="32"/>
          <w:szCs w:val="32"/>
          <w:lang w:eastAsia="zh-CN"/>
        </w:rPr>
        <w:t>（八）东湖区大士院街区提升改造暨小游园建设项目。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为提升滕王阁商圈大士院街区整体风貌，计划提升改造滕王阁商圈大士院街区项目，在胜利路新建德胜门小游园，投资约123.6万元，主要建设广场铺装、水电安装、绿化、休闲设施等。</w:t>
      </w:r>
      <w:r>
        <w:rPr>
          <w:rFonts w:hint="eastAsia" w:ascii="楷体_GB2312" w:hAnsi="仿宋_GB2312" w:eastAsia="楷体_GB2312" w:cs="仿宋_GB2312"/>
          <w:b/>
          <w:sz w:val="32"/>
          <w:szCs w:val="32"/>
          <w:lang w:eastAsia="zh-CN"/>
        </w:rPr>
        <w:t>（责任单位：区城管执法局）</w:t>
      </w:r>
    </w:p>
    <w:p w14:paraId="2F0B68C3">
      <w:pPr>
        <w:ind w:firstLine="643"/>
        <w:rPr>
          <w:rFonts w:ascii="楷体_GB2312" w:eastAsia="楷体_GB2312"/>
          <w:b/>
        </w:rPr>
      </w:pPr>
      <w:r>
        <w:rPr>
          <w:rFonts w:hint="eastAsia" w:ascii="楷体_GB2312" w:eastAsia="楷体_GB2312"/>
          <w:b/>
        </w:rPr>
        <w:t>（九）科学绿化示范道路建设项目。</w:t>
      </w:r>
      <w:r>
        <w:rPr>
          <w:rFonts w:hint="eastAsia"/>
        </w:rPr>
        <w:t>计划对北京西路、新公园路2条道路进行科学绿化提升，建设内容为优化删减原有杂乱灌木、铺种草坪、行道树整形修剪、降低原有土层高度等，投资额约为65.57万元。</w:t>
      </w:r>
      <w:r>
        <w:rPr>
          <w:rFonts w:hint="eastAsia" w:ascii="楷体_GB2312" w:eastAsia="楷体_GB2312"/>
          <w:b/>
        </w:rPr>
        <w:t>（责任单位：区城管执法局）</w:t>
      </w:r>
    </w:p>
    <w:p w14:paraId="28CAE521">
      <w:pPr>
        <w:pStyle w:val="2"/>
        <w:spacing w:before="77" w:line="226" w:lineRule="auto"/>
        <w:ind w:left="31" w:right="4" w:firstLine="643"/>
        <w:rPr>
          <w:rFonts w:ascii="楷体_GB2312" w:hAnsi="仿宋_GB2312" w:eastAsia="楷体_GB2312" w:cs="仿宋_GB2312"/>
          <w:b/>
          <w:sz w:val="32"/>
          <w:szCs w:val="32"/>
          <w:lang w:eastAsia="zh-CN"/>
        </w:rPr>
      </w:pPr>
      <w:r>
        <w:rPr>
          <w:rFonts w:hint="eastAsia" w:ascii="楷体_GB2312" w:hAnsi="仿宋_GB2312" w:eastAsia="楷体_GB2312" w:cs="仿宋_GB2312"/>
          <w:b/>
          <w:sz w:val="32"/>
          <w:szCs w:val="32"/>
          <w:lang w:eastAsia="zh-CN"/>
        </w:rPr>
        <w:t>（十）公办学校可躺式课桌椅配置项目。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为切实解决中小学生中午在校午休问题，计划在全区各校小学三年级、四年级及初二年级配置可躺式课桌椅9605套，每套约400元，总投资约380万元。</w:t>
      </w:r>
      <w:r>
        <w:rPr>
          <w:rFonts w:hint="eastAsia" w:ascii="楷体_GB2312" w:hAnsi="仿宋_GB2312" w:eastAsia="楷体_GB2312" w:cs="仿宋_GB2312"/>
          <w:b/>
          <w:sz w:val="32"/>
          <w:szCs w:val="32"/>
          <w:lang w:eastAsia="zh-CN"/>
        </w:rPr>
        <w:t>（责任单位：区教体局）</w:t>
      </w:r>
    </w:p>
    <w:p w14:paraId="5E175C6E">
      <w:pPr>
        <w:rPr>
          <w:b/>
          <w:bCs w:val="0"/>
          <w:color w:val="FF0000"/>
        </w:rPr>
      </w:pPr>
      <w:r>
        <w:rPr>
          <w:rFonts w:hint="eastAsia"/>
        </w:rPr>
        <w:t>各部门要认真贯彻以人民为中心的发展思想，加强组织领导，精心部署实施，确保民生实事件件落地见效。</w:t>
      </w:r>
      <w:r>
        <w:rPr>
          <w:rFonts w:hint="eastAsia"/>
          <w:b/>
        </w:rPr>
        <w:t>一是要提高政治站位。</w:t>
      </w:r>
      <w:r>
        <w:rPr>
          <w:rFonts w:hint="eastAsia"/>
        </w:rPr>
        <w:t>将按时全面完成各项民生实事作为重要政治任务抓紧抓实，各牵头、责任单位主要负责同志要亲自谋划、靠前指挥，各部门要密切配合、担当作为，形成工作合力。</w:t>
      </w:r>
      <w:r>
        <w:rPr>
          <w:rFonts w:hint="eastAsia"/>
          <w:b/>
        </w:rPr>
        <w:t>二是要强化工作落实。</w:t>
      </w:r>
      <w:r>
        <w:rPr>
          <w:rFonts w:hint="eastAsia"/>
        </w:rPr>
        <w:t>各牵头、责任单位要研究制定19件民生实事具体实施方案，明确任务目标、实施内容、实施步骤、资金安排、责任主体和完成时限等方面内容。</w:t>
      </w:r>
      <w:r>
        <w:rPr>
          <w:rFonts w:hint="eastAsia"/>
          <w:b/>
        </w:rPr>
        <w:t>三是要加强督促检查。</w:t>
      </w:r>
      <w:r>
        <w:rPr>
          <w:rFonts w:hint="eastAsia"/>
        </w:rPr>
        <w:t>各牵头、责任单位要每月研究工作落实情况、定期开展监督检查，按要求报送民生实事进展情况,确保民生实事如期顺利完成。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6E9FA9E-A8E5-4530-884F-EEBAE14C83E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E23E69F-B039-4671-9278-33A83EDD509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BC2C141B-C650-4E83-A801-2EEEA411084C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A6BB8D37-AA5D-4F40-B60B-761E6F387899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4347E5ED-6C7E-4525-B85F-B51A0081DA5C}"/>
  </w:font>
  <w:font w:name="TimesNewRomanPSMT">
    <w:altName w:val="Times New Roman"/>
    <w:panose1 w:val="00000000000000000000"/>
    <w:charset w:val="86"/>
    <w:family w:val="auto"/>
    <w:pitch w:val="default"/>
    <w:sig w:usb0="00000000" w:usb1="00000000" w:usb2="00000010" w:usb3="00000000" w:csb0="00040000" w:csb1="00000000"/>
    <w:embedRegular r:id="rId6" w:fontKey="{AB17EFFE-A82C-4D74-900A-A838B94816E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44E970">
    <w:pPr>
      <w:pStyle w:val="3"/>
      <w:ind w:firstLine="360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3E2828C7">
                <w:pPr>
                  <w:pStyle w:val="3"/>
                  <w:ind w:firstLine="360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3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0391A8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D7E23E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BAEC3B">
    <w:pPr>
      <w:pStyle w:val="4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17D0BB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CAA6F1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GYwOTY1MTY3OTdkZjhjNTkwZjViZTRmYjlhOGFjYzkifQ=="/>
  </w:docVars>
  <w:rsids>
    <w:rsidRoot w:val="00D158BE"/>
    <w:rsid w:val="00000FE9"/>
    <w:rsid w:val="0000744D"/>
    <w:rsid w:val="00012415"/>
    <w:rsid w:val="00016847"/>
    <w:rsid w:val="000331BD"/>
    <w:rsid w:val="00034B6E"/>
    <w:rsid w:val="000507E5"/>
    <w:rsid w:val="0005796E"/>
    <w:rsid w:val="000628FA"/>
    <w:rsid w:val="0006736F"/>
    <w:rsid w:val="000727F6"/>
    <w:rsid w:val="00083B3F"/>
    <w:rsid w:val="0008573F"/>
    <w:rsid w:val="00092D7E"/>
    <w:rsid w:val="00093EFD"/>
    <w:rsid w:val="00093F14"/>
    <w:rsid w:val="000A2558"/>
    <w:rsid w:val="000A26CC"/>
    <w:rsid w:val="000A2AB3"/>
    <w:rsid w:val="000B1F43"/>
    <w:rsid w:val="000C003B"/>
    <w:rsid w:val="000C2040"/>
    <w:rsid w:val="000C4CEB"/>
    <w:rsid w:val="000C6AB4"/>
    <w:rsid w:val="000D016D"/>
    <w:rsid w:val="000D4904"/>
    <w:rsid w:val="000D49CC"/>
    <w:rsid w:val="000D4DD3"/>
    <w:rsid w:val="000D7E24"/>
    <w:rsid w:val="000E1DED"/>
    <w:rsid w:val="000E4932"/>
    <w:rsid w:val="000E5F26"/>
    <w:rsid w:val="000F1EDF"/>
    <w:rsid w:val="000F28D9"/>
    <w:rsid w:val="000F62BC"/>
    <w:rsid w:val="000F6C8F"/>
    <w:rsid w:val="0012092A"/>
    <w:rsid w:val="00140010"/>
    <w:rsid w:val="00146D91"/>
    <w:rsid w:val="00151994"/>
    <w:rsid w:val="0016673F"/>
    <w:rsid w:val="00173D89"/>
    <w:rsid w:val="00180A2B"/>
    <w:rsid w:val="00180F23"/>
    <w:rsid w:val="00182D29"/>
    <w:rsid w:val="00186F35"/>
    <w:rsid w:val="00194D24"/>
    <w:rsid w:val="001B4DF5"/>
    <w:rsid w:val="001B68D3"/>
    <w:rsid w:val="001C696F"/>
    <w:rsid w:val="001D2252"/>
    <w:rsid w:val="001E32BD"/>
    <w:rsid w:val="001E615B"/>
    <w:rsid w:val="001E6804"/>
    <w:rsid w:val="001F6F17"/>
    <w:rsid w:val="00200C52"/>
    <w:rsid w:val="00201EB9"/>
    <w:rsid w:val="00222A00"/>
    <w:rsid w:val="00224E47"/>
    <w:rsid w:val="002338C4"/>
    <w:rsid w:val="0023421F"/>
    <w:rsid w:val="002446D3"/>
    <w:rsid w:val="00252A45"/>
    <w:rsid w:val="002706FD"/>
    <w:rsid w:val="00284A75"/>
    <w:rsid w:val="00285CA8"/>
    <w:rsid w:val="00293AB1"/>
    <w:rsid w:val="002A3EFA"/>
    <w:rsid w:val="002A4E1E"/>
    <w:rsid w:val="002A7A36"/>
    <w:rsid w:val="002B66E8"/>
    <w:rsid w:val="002C079E"/>
    <w:rsid w:val="002C310F"/>
    <w:rsid w:val="002C5217"/>
    <w:rsid w:val="002D76A7"/>
    <w:rsid w:val="002D7C09"/>
    <w:rsid w:val="002E0665"/>
    <w:rsid w:val="002E6F02"/>
    <w:rsid w:val="003015BF"/>
    <w:rsid w:val="00302D6C"/>
    <w:rsid w:val="0030787D"/>
    <w:rsid w:val="003312DD"/>
    <w:rsid w:val="00351BEB"/>
    <w:rsid w:val="003578B7"/>
    <w:rsid w:val="003614BC"/>
    <w:rsid w:val="00364994"/>
    <w:rsid w:val="00367E54"/>
    <w:rsid w:val="00370290"/>
    <w:rsid w:val="00375F65"/>
    <w:rsid w:val="00386C1C"/>
    <w:rsid w:val="00390658"/>
    <w:rsid w:val="00397317"/>
    <w:rsid w:val="003A09FD"/>
    <w:rsid w:val="003B0099"/>
    <w:rsid w:val="003B2F37"/>
    <w:rsid w:val="003C514B"/>
    <w:rsid w:val="003C5CB3"/>
    <w:rsid w:val="003D53B9"/>
    <w:rsid w:val="003E0CEF"/>
    <w:rsid w:val="003E3D79"/>
    <w:rsid w:val="003E68D3"/>
    <w:rsid w:val="003F4F63"/>
    <w:rsid w:val="003F6DA7"/>
    <w:rsid w:val="0040302B"/>
    <w:rsid w:val="004157A5"/>
    <w:rsid w:val="00416EDF"/>
    <w:rsid w:val="00427D97"/>
    <w:rsid w:val="004337C9"/>
    <w:rsid w:val="0043701F"/>
    <w:rsid w:val="004523E0"/>
    <w:rsid w:val="00452919"/>
    <w:rsid w:val="004556CF"/>
    <w:rsid w:val="00480657"/>
    <w:rsid w:val="004904E2"/>
    <w:rsid w:val="00491014"/>
    <w:rsid w:val="004A22B3"/>
    <w:rsid w:val="004A700E"/>
    <w:rsid w:val="004B1BEE"/>
    <w:rsid w:val="004C071D"/>
    <w:rsid w:val="004C3576"/>
    <w:rsid w:val="004D4795"/>
    <w:rsid w:val="004E1CDC"/>
    <w:rsid w:val="004E3F94"/>
    <w:rsid w:val="004E670D"/>
    <w:rsid w:val="004E716D"/>
    <w:rsid w:val="004E7446"/>
    <w:rsid w:val="004F1D10"/>
    <w:rsid w:val="0050044B"/>
    <w:rsid w:val="00512ED5"/>
    <w:rsid w:val="00513418"/>
    <w:rsid w:val="00517CD4"/>
    <w:rsid w:val="00534878"/>
    <w:rsid w:val="00534C3D"/>
    <w:rsid w:val="005372E5"/>
    <w:rsid w:val="0053794F"/>
    <w:rsid w:val="005462CD"/>
    <w:rsid w:val="005521D1"/>
    <w:rsid w:val="00577A1F"/>
    <w:rsid w:val="00581C68"/>
    <w:rsid w:val="005946EF"/>
    <w:rsid w:val="00596418"/>
    <w:rsid w:val="005A004F"/>
    <w:rsid w:val="005A3736"/>
    <w:rsid w:val="005A7278"/>
    <w:rsid w:val="005C38A4"/>
    <w:rsid w:val="005D3A6B"/>
    <w:rsid w:val="005D3DC0"/>
    <w:rsid w:val="005E1B36"/>
    <w:rsid w:val="006062FF"/>
    <w:rsid w:val="006126EC"/>
    <w:rsid w:val="006151F9"/>
    <w:rsid w:val="006221D5"/>
    <w:rsid w:val="00631575"/>
    <w:rsid w:val="0063169E"/>
    <w:rsid w:val="00647ADE"/>
    <w:rsid w:val="0065121A"/>
    <w:rsid w:val="0066364A"/>
    <w:rsid w:val="0067055B"/>
    <w:rsid w:val="006747C1"/>
    <w:rsid w:val="00675EDB"/>
    <w:rsid w:val="00680E7B"/>
    <w:rsid w:val="006818BF"/>
    <w:rsid w:val="00682C31"/>
    <w:rsid w:val="006B0B9E"/>
    <w:rsid w:val="006C44B6"/>
    <w:rsid w:val="006C6824"/>
    <w:rsid w:val="006E186F"/>
    <w:rsid w:val="006E544B"/>
    <w:rsid w:val="006F4439"/>
    <w:rsid w:val="006F72EA"/>
    <w:rsid w:val="00701A74"/>
    <w:rsid w:val="007118A6"/>
    <w:rsid w:val="00722AB0"/>
    <w:rsid w:val="00723B7A"/>
    <w:rsid w:val="00727CCE"/>
    <w:rsid w:val="007331AD"/>
    <w:rsid w:val="007344F0"/>
    <w:rsid w:val="00734565"/>
    <w:rsid w:val="007348BC"/>
    <w:rsid w:val="00734C84"/>
    <w:rsid w:val="00735106"/>
    <w:rsid w:val="007429A6"/>
    <w:rsid w:val="007478FC"/>
    <w:rsid w:val="00751D51"/>
    <w:rsid w:val="0075779F"/>
    <w:rsid w:val="00761B72"/>
    <w:rsid w:val="0076786A"/>
    <w:rsid w:val="00784E1A"/>
    <w:rsid w:val="00794F2F"/>
    <w:rsid w:val="00796E17"/>
    <w:rsid w:val="007975FE"/>
    <w:rsid w:val="007A5DD7"/>
    <w:rsid w:val="007B396F"/>
    <w:rsid w:val="007B71AC"/>
    <w:rsid w:val="007B728B"/>
    <w:rsid w:val="007C3159"/>
    <w:rsid w:val="007D7F47"/>
    <w:rsid w:val="007F7703"/>
    <w:rsid w:val="00811EFD"/>
    <w:rsid w:val="00815B45"/>
    <w:rsid w:val="00827E0F"/>
    <w:rsid w:val="0083172F"/>
    <w:rsid w:val="00833B20"/>
    <w:rsid w:val="00841270"/>
    <w:rsid w:val="008459DD"/>
    <w:rsid w:val="00846883"/>
    <w:rsid w:val="00850173"/>
    <w:rsid w:val="00855BA3"/>
    <w:rsid w:val="00863FB8"/>
    <w:rsid w:val="0087272A"/>
    <w:rsid w:val="00877EE8"/>
    <w:rsid w:val="00886F07"/>
    <w:rsid w:val="008A13F6"/>
    <w:rsid w:val="008A6AB1"/>
    <w:rsid w:val="008B05EA"/>
    <w:rsid w:val="008B31F4"/>
    <w:rsid w:val="008B3D28"/>
    <w:rsid w:val="008B4268"/>
    <w:rsid w:val="008C2603"/>
    <w:rsid w:val="008D2280"/>
    <w:rsid w:val="008D2B36"/>
    <w:rsid w:val="008E05EC"/>
    <w:rsid w:val="008F0EC7"/>
    <w:rsid w:val="009043A1"/>
    <w:rsid w:val="00905E09"/>
    <w:rsid w:val="0092122B"/>
    <w:rsid w:val="00924ECD"/>
    <w:rsid w:val="00941CC1"/>
    <w:rsid w:val="00953849"/>
    <w:rsid w:val="00962464"/>
    <w:rsid w:val="00966EAB"/>
    <w:rsid w:val="00981995"/>
    <w:rsid w:val="00983719"/>
    <w:rsid w:val="009857C7"/>
    <w:rsid w:val="00987C79"/>
    <w:rsid w:val="00993F81"/>
    <w:rsid w:val="009B0A41"/>
    <w:rsid w:val="009B19A8"/>
    <w:rsid w:val="009B1B9E"/>
    <w:rsid w:val="009B1EF8"/>
    <w:rsid w:val="009D28E4"/>
    <w:rsid w:val="009E6B24"/>
    <w:rsid w:val="009F3CFC"/>
    <w:rsid w:val="00A053EA"/>
    <w:rsid w:val="00A11BE0"/>
    <w:rsid w:val="00A169FF"/>
    <w:rsid w:val="00A26515"/>
    <w:rsid w:val="00A31651"/>
    <w:rsid w:val="00A345CF"/>
    <w:rsid w:val="00A3642F"/>
    <w:rsid w:val="00A62677"/>
    <w:rsid w:val="00A72AC5"/>
    <w:rsid w:val="00A75820"/>
    <w:rsid w:val="00A82610"/>
    <w:rsid w:val="00A92F34"/>
    <w:rsid w:val="00A931C5"/>
    <w:rsid w:val="00A9577B"/>
    <w:rsid w:val="00AA11F2"/>
    <w:rsid w:val="00AA5CDB"/>
    <w:rsid w:val="00AB08E0"/>
    <w:rsid w:val="00AB22FC"/>
    <w:rsid w:val="00AC17A7"/>
    <w:rsid w:val="00AC1FD7"/>
    <w:rsid w:val="00AC6595"/>
    <w:rsid w:val="00B10453"/>
    <w:rsid w:val="00B12ED5"/>
    <w:rsid w:val="00B36D9D"/>
    <w:rsid w:val="00B5276F"/>
    <w:rsid w:val="00B538A3"/>
    <w:rsid w:val="00B628E9"/>
    <w:rsid w:val="00B64188"/>
    <w:rsid w:val="00B65BF7"/>
    <w:rsid w:val="00B76E91"/>
    <w:rsid w:val="00B80F2E"/>
    <w:rsid w:val="00B927E3"/>
    <w:rsid w:val="00B93627"/>
    <w:rsid w:val="00BB5F1F"/>
    <w:rsid w:val="00BB6B97"/>
    <w:rsid w:val="00BD08CE"/>
    <w:rsid w:val="00BD5D46"/>
    <w:rsid w:val="00BE5525"/>
    <w:rsid w:val="00BF2F08"/>
    <w:rsid w:val="00BF3F6F"/>
    <w:rsid w:val="00BF6666"/>
    <w:rsid w:val="00C00359"/>
    <w:rsid w:val="00C07CD7"/>
    <w:rsid w:val="00C20416"/>
    <w:rsid w:val="00C30BC4"/>
    <w:rsid w:val="00C371B8"/>
    <w:rsid w:val="00C50FCC"/>
    <w:rsid w:val="00C63CCD"/>
    <w:rsid w:val="00C666B6"/>
    <w:rsid w:val="00C71EE9"/>
    <w:rsid w:val="00C823D1"/>
    <w:rsid w:val="00CA0316"/>
    <w:rsid w:val="00CA0FD9"/>
    <w:rsid w:val="00CA1245"/>
    <w:rsid w:val="00CA201D"/>
    <w:rsid w:val="00CA33AB"/>
    <w:rsid w:val="00CA5CB3"/>
    <w:rsid w:val="00CB20D1"/>
    <w:rsid w:val="00CC2FCF"/>
    <w:rsid w:val="00CD0845"/>
    <w:rsid w:val="00CE37FF"/>
    <w:rsid w:val="00D01A7F"/>
    <w:rsid w:val="00D05DC8"/>
    <w:rsid w:val="00D158BE"/>
    <w:rsid w:val="00D35E7B"/>
    <w:rsid w:val="00D45294"/>
    <w:rsid w:val="00D45543"/>
    <w:rsid w:val="00D5354A"/>
    <w:rsid w:val="00D5382A"/>
    <w:rsid w:val="00D63273"/>
    <w:rsid w:val="00D64386"/>
    <w:rsid w:val="00D67197"/>
    <w:rsid w:val="00D8004A"/>
    <w:rsid w:val="00D81A4B"/>
    <w:rsid w:val="00D81D2F"/>
    <w:rsid w:val="00D93BC5"/>
    <w:rsid w:val="00D945A7"/>
    <w:rsid w:val="00DA3532"/>
    <w:rsid w:val="00DA5ED2"/>
    <w:rsid w:val="00DB0A9A"/>
    <w:rsid w:val="00DB0BB2"/>
    <w:rsid w:val="00DB11C8"/>
    <w:rsid w:val="00DC02A9"/>
    <w:rsid w:val="00DC3C92"/>
    <w:rsid w:val="00DE0ADA"/>
    <w:rsid w:val="00DE36BD"/>
    <w:rsid w:val="00DF2D58"/>
    <w:rsid w:val="00DF2D65"/>
    <w:rsid w:val="00E0174F"/>
    <w:rsid w:val="00E05065"/>
    <w:rsid w:val="00E07D21"/>
    <w:rsid w:val="00E24513"/>
    <w:rsid w:val="00E24B72"/>
    <w:rsid w:val="00E30482"/>
    <w:rsid w:val="00E31BCD"/>
    <w:rsid w:val="00E42367"/>
    <w:rsid w:val="00E5326B"/>
    <w:rsid w:val="00E53DAD"/>
    <w:rsid w:val="00E54E74"/>
    <w:rsid w:val="00E73253"/>
    <w:rsid w:val="00E96025"/>
    <w:rsid w:val="00EA086F"/>
    <w:rsid w:val="00EB124A"/>
    <w:rsid w:val="00EB4403"/>
    <w:rsid w:val="00EB5B00"/>
    <w:rsid w:val="00EB7AD8"/>
    <w:rsid w:val="00EC0024"/>
    <w:rsid w:val="00EC66D3"/>
    <w:rsid w:val="00ED2A59"/>
    <w:rsid w:val="00EE738E"/>
    <w:rsid w:val="00EF21A7"/>
    <w:rsid w:val="00F023A5"/>
    <w:rsid w:val="00F10234"/>
    <w:rsid w:val="00F11CD5"/>
    <w:rsid w:val="00F278D4"/>
    <w:rsid w:val="00F325A5"/>
    <w:rsid w:val="00F364C6"/>
    <w:rsid w:val="00F36BF0"/>
    <w:rsid w:val="00F4069F"/>
    <w:rsid w:val="00F56D74"/>
    <w:rsid w:val="00F76032"/>
    <w:rsid w:val="00F76D14"/>
    <w:rsid w:val="00F76DD1"/>
    <w:rsid w:val="00F836D0"/>
    <w:rsid w:val="00FB3C64"/>
    <w:rsid w:val="00FC21EC"/>
    <w:rsid w:val="00FE4C92"/>
    <w:rsid w:val="02151639"/>
    <w:rsid w:val="03020333"/>
    <w:rsid w:val="0327284A"/>
    <w:rsid w:val="03B455E2"/>
    <w:rsid w:val="07222102"/>
    <w:rsid w:val="07B11801"/>
    <w:rsid w:val="08AA53A0"/>
    <w:rsid w:val="0A816F5B"/>
    <w:rsid w:val="0B5B0ED3"/>
    <w:rsid w:val="0B9C0037"/>
    <w:rsid w:val="0BAE65BA"/>
    <w:rsid w:val="0BFA7F86"/>
    <w:rsid w:val="0CD1430F"/>
    <w:rsid w:val="0D1325F5"/>
    <w:rsid w:val="0D6B751E"/>
    <w:rsid w:val="0DB633CC"/>
    <w:rsid w:val="0DFB42F3"/>
    <w:rsid w:val="0EFB3964"/>
    <w:rsid w:val="0F9B0CA3"/>
    <w:rsid w:val="0FBC30F4"/>
    <w:rsid w:val="0FFC4022"/>
    <w:rsid w:val="118B1ED7"/>
    <w:rsid w:val="11D616B5"/>
    <w:rsid w:val="12BD28A3"/>
    <w:rsid w:val="12CB22ED"/>
    <w:rsid w:val="142B0848"/>
    <w:rsid w:val="159F1441"/>
    <w:rsid w:val="166167A3"/>
    <w:rsid w:val="16D15B0F"/>
    <w:rsid w:val="16D92B82"/>
    <w:rsid w:val="16F874BF"/>
    <w:rsid w:val="183C55B3"/>
    <w:rsid w:val="19AE2B43"/>
    <w:rsid w:val="1A0C33CA"/>
    <w:rsid w:val="1AAE1354"/>
    <w:rsid w:val="1B747F0D"/>
    <w:rsid w:val="1B8D7D55"/>
    <w:rsid w:val="1CD80D2E"/>
    <w:rsid w:val="1CD970E6"/>
    <w:rsid w:val="1D8A57B8"/>
    <w:rsid w:val="1DB976BD"/>
    <w:rsid w:val="1E6A50BC"/>
    <w:rsid w:val="1ECE4BF1"/>
    <w:rsid w:val="1FE14C78"/>
    <w:rsid w:val="21155C6C"/>
    <w:rsid w:val="21241BC2"/>
    <w:rsid w:val="21B76E87"/>
    <w:rsid w:val="22430545"/>
    <w:rsid w:val="22BE212B"/>
    <w:rsid w:val="24500F28"/>
    <w:rsid w:val="25670CAF"/>
    <w:rsid w:val="258E6251"/>
    <w:rsid w:val="25D41CEB"/>
    <w:rsid w:val="266E7BDA"/>
    <w:rsid w:val="28077D04"/>
    <w:rsid w:val="29B42C36"/>
    <w:rsid w:val="2A1E1CDB"/>
    <w:rsid w:val="2A9141C7"/>
    <w:rsid w:val="2B1760A1"/>
    <w:rsid w:val="2C113A03"/>
    <w:rsid w:val="2D940492"/>
    <w:rsid w:val="2DB62459"/>
    <w:rsid w:val="2F807F0A"/>
    <w:rsid w:val="3042475A"/>
    <w:rsid w:val="306C7DC6"/>
    <w:rsid w:val="32874800"/>
    <w:rsid w:val="32AD6C0F"/>
    <w:rsid w:val="33022129"/>
    <w:rsid w:val="33D80306"/>
    <w:rsid w:val="34126ED7"/>
    <w:rsid w:val="341E1D9A"/>
    <w:rsid w:val="347D4E37"/>
    <w:rsid w:val="34BE6AF8"/>
    <w:rsid w:val="35722872"/>
    <w:rsid w:val="36027ECC"/>
    <w:rsid w:val="39486E79"/>
    <w:rsid w:val="39C94D81"/>
    <w:rsid w:val="3B4C7172"/>
    <w:rsid w:val="3B566108"/>
    <w:rsid w:val="3BB569EA"/>
    <w:rsid w:val="3C3E90CD"/>
    <w:rsid w:val="3C5E537B"/>
    <w:rsid w:val="3DAA0180"/>
    <w:rsid w:val="3EE162AE"/>
    <w:rsid w:val="3EFC4A0B"/>
    <w:rsid w:val="3FCD6830"/>
    <w:rsid w:val="4084115C"/>
    <w:rsid w:val="40B07F23"/>
    <w:rsid w:val="419A07DD"/>
    <w:rsid w:val="41BA1AE7"/>
    <w:rsid w:val="43AB7D36"/>
    <w:rsid w:val="45325D93"/>
    <w:rsid w:val="45CE412D"/>
    <w:rsid w:val="45DF7CE8"/>
    <w:rsid w:val="45F111E6"/>
    <w:rsid w:val="46786933"/>
    <w:rsid w:val="46D71FE6"/>
    <w:rsid w:val="46F5654F"/>
    <w:rsid w:val="492E4469"/>
    <w:rsid w:val="49ED38CE"/>
    <w:rsid w:val="4B276DC9"/>
    <w:rsid w:val="4B7E4AC6"/>
    <w:rsid w:val="4C517FEB"/>
    <w:rsid w:val="4D6640C3"/>
    <w:rsid w:val="4D840AED"/>
    <w:rsid w:val="4DE556EB"/>
    <w:rsid w:val="4F3501F1"/>
    <w:rsid w:val="4FF8055E"/>
    <w:rsid w:val="50492878"/>
    <w:rsid w:val="51041EDF"/>
    <w:rsid w:val="51CF19F5"/>
    <w:rsid w:val="51E1640E"/>
    <w:rsid w:val="51F64AEC"/>
    <w:rsid w:val="558110E9"/>
    <w:rsid w:val="561634E0"/>
    <w:rsid w:val="57454D4A"/>
    <w:rsid w:val="59213594"/>
    <w:rsid w:val="59C84B77"/>
    <w:rsid w:val="5A062943"/>
    <w:rsid w:val="5A523D24"/>
    <w:rsid w:val="5CEA2C94"/>
    <w:rsid w:val="5CF1327E"/>
    <w:rsid w:val="5D1F0AC3"/>
    <w:rsid w:val="5E8E5228"/>
    <w:rsid w:val="5ED61C44"/>
    <w:rsid w:val="5FCB7BBF"/>
    <w:rsid w:val="60170588"/>
    <w:rsid w:val="608416F8"/>
    <w:rsid w:val="61237AA3"/>
    <w:rsid w:val="61952D71"/>
    <w:rsid w:val="61A777C7"/>
    <w:rsid w:val="61F359F2"/>
    <w:rsid w:val="62F85378"/>
    <w:rsid w:val="637E1A50"/>
    <w:rsid w:val="63BA6ABF"/>
    <w:rsid w:val="650634A2"/>
    <w:rsid w:val="654D2DB6"/>
    <w:rsid w:val="66312EF1"/>
    <w:rsid w:val="663A612C"/>
    <w:rsid w:val="6A96425E"/>
    <w:rsid w:val="6B7B6B34"/>
    <w:rsid w:val="6BD65659"/>
    <w:rsid w:val="6BFF4496"/>
    <w:rsid w:val="6C841338"/>
    <w:rsid w:val="6CD11E72"/>
    <w:rsid w:val="6DAA61A6"/>
    <w:rsid w:val="6E902C18"/>
    <w:rsid w:val="6F325B9B"/>
    <w:rsid w:val="6F77F06D"/>
    <w:rsid w:val="6FD34399"/>
    <w:rsid w:val="701778DC"/>
    <w:rsid w:val="709E6DCE"/>
    <w:rsid w:val="71EE3EF7"/>
    <w:rsid w:val="730E02C1"/>
    <w:rsid w:val="744F0559"/>
    <w:rsid w:val="76505BD1"/>
    <w:rsid w:val="76991590"/>
    <w:rsid w:val="76AE2A3C"/>
    <w:rsid w:val="76CB06F8"/>
    <w:rsid w:val="77106975"/>
    <w:rsid w:val="780C2077"/>
    <w:rsid w:val="787B48AE"/>
    <w:rsid w:val="796352B6"/>
    <w:rsid w:val="79F956AA"/>
    <w:rsid w:val="7A326F58"/>
    <w:rsid w:val="7ADA3850"/>
    <w:rsid w:val="7C5D2A66"/>
    <w:rsid w:val="7D692C90"/>
    <w:rsid w:val="7E2C291F"/>
    <w:rsid w:val="7F5114BE"/>
    <w:rsid w:val="EFEF86F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640" w:firstLineChars="200"/>
      <w:jc w:val="both"/>
    </w:pPr>
    <w:rPr>
      <w:rFonts w:ascii="仿宋_GB2312" w:hAnsi="仿宋_GB2312" w:eastAsia="仿宋_GB2312" w:cs="仿宋_GB2312"/>
      <w:bCs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31"/>
      <w:szCs w:val="31"/>
      <w:lang w:eastAsia="en-US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8">
    <w:name w:val="FollowedHyperlink"/>
    <w:basedOn w:val="7"/>
    <w:qFormat/>
    <w:uiPriority w:val="0"/>
    <w:rPr>
      <w:color w:val="013F1A"/>
      <w:u w:val="none"/>
    </w:rPr>
  </w:style>
  <w:style w:type="character" w:styleId="9">
    <w:name w:val="Hyperlink"/>
    <w:basedOn w:val="7"/>
    <w:qFormat/>
    <w:uiPriority w:val="0"/>
    <w:rPr>
      <w:color w:val="013F1A"/>
      <w:u w:val="none"/>
    </w:rPr>
  </w:style>
  <w:style w:type="character" w:customStyle="1" w:styleId="10">
    <w:name w:val="fr"/>
    <w:basedOn w:val="7"/>
    <w:qFormat/>
    <w:uiPriority w:val="0"/>
  </w:style>
  <w:style w:type="character" w:customStyle="1" w:styleId="11">
    <w:name w:val="fr1"/>
    <w:basedOn w:val="7"/>
    <w:qFormat/>
    <w:uiPriority w:val="0"/>
  </w:style>
  <w:style w:type="character" w:customStyle="1" w:styleId="12">
    <w:name w:val="fr2"/>
    <w:basedOn w:val="7"/>
    <w:qFormat/>
    <w:uiPriority w:val="0"/>
  </w:style>
  <w:style w:type="character" w:customStyle="1" w:styleId="13">
    <w:name w:val="info2"/>
    <w:basedOn w:val="7"/>
    <w:qFormat/>
    <w:uiPriority w:val="0"/>
    <w:rPr>
      <w:color w:val="555555"/>
    </w:rPr>
  </w:style>
  <w:style w:type="character" w:customStyle="1" w:styleId="14">
    <w:name w:val="post_wemedia_info1"/>
    <w:basedOn w:val="7"/>
    <w:qFormat/>
    <w:uiPriority w:val="0"/>
  </w:style>
  <w:style w:type="paragraph" w:styleId="15">
    <w:name w:val="List Paragraph"/>
    <w:basedOn w:val="1"/>
    <w:unhideWhenUsed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7</Pages>
  <Words>3273</Words>
  <Characters>3417</Characters>
  <Lines>24</Lines>
  <Paragraphs>6</Paragraphs>
  <TotalTime>30</TotalTime>
  <ScaleCrop>false</ScaleCrop>
  <LinksUpToDate>false</LinksUpToDate>
  <CharactersWithSpaces>3420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admin</dc:creator>
  <cp:lastModifiedBy>Eos</cp:lastModifiedBy>
  <cp:lastPrinted>2024-03-12T01:10:00Z</cp:lastPrinted>
  <dcterms:modified xsi:type="dcterms:W3CDTF">2025-05-16T10:02:17Z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831C6C746E3540759201012CFFF8BF01</vt:lpwstr>
  </property>
  <property fmtid="{D5CDD505-2E9C-101B-9397-08002B2CF9AE}" pid="4" name="KSOTemplateDocerSaveRecord">
    <vt:lpwstr>eyJoZGlkIjoiZmNkZWM4N2ZkNDlkZjQ3OTQ1ZTUyMzRlNjc5YTQ0MDMiLCJ1c2VySWQiOiIyOTczMjUwNTMifQ==</vt:lpwstr>
  </property>
  <property fmtid="{D5CDD505-2E9C-101B-9397-08002B2CF9AE}" pid="5" name="woTemplateTypoMode" linkTarget="0">
    <vt:lpwstr>web</vt:lpwstr>
  </property>
  <property fmtid="{D5CDD505-2E9C-101B-9397-08002B2CF9AE}" pid="6" name="woTemplate" linkTarget="0">
    <vt:i4>1</vt:i4>
  </property>
</Properties>
</file>