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461F4">
      <w:pPr>
        <w:jc w:val="left"/>
        <w:rPr>
          <w:rFonts w:ascii="仿宋_GB2312" w:hAnsi="宋体" w:eastAsia="仿宋_GB2312"/>
          <w:sz w:val="32"/>
        </w:rPr>
      </w:pPr>
    </w:p>
    <w:p w14:paraId="746B7C67">
      <w:pPr>
        <w:rPr>
          <w:rFonts w:ascii="仿宋_GB2312" w:hAnsi="宋体" w:eastAsia="仿宋_GB2312"/>
          <w:sz w:val="32"/>
        </w:rPr>
      </w:pPr>
    </w:p>
    <w:p w14:paraId="7488427D">
      <w:pPr>
        <w:rPr>
          <w:rFonts w:ascii="仿宋_GB2312" w:hAnsi="宋体" w:eastAsia="仿宋_GB2312"/>
          <w:sz w:val="32"/>
        </w:rPr>
      </w:pPr>
    </w:p>
    <w:p w14:paraId="6642A5D6">
      <w:pPr>
        <w:jc w:val="left"/>
        <w:rPr>
          <w:rFonts w:ascii="仿宋_GB2312" w:hAnsi="宋体" w:eastAsia="仿宋_GB2312"/>
          <w:sz w:val="32"/>
        </w:rPr>
      </w:pPr>
    </w:p>
    <w:p w14:paraId="523A6C03">
      <w:pPr>
        <w:rPr>
          <w:rFonts w:ascii="仿宋_GB2312" w:hAnsi="宋体" w:eastAsia="仿宋_GB2312"/>
          <w:sz w:val="32"/>
        </w:rPr>
      </w:pPr>
    </w:p>
    <w:p w14:paraId="34B4B31D">
      <w:pPr>
        <w:spacing w:line="600" w:lineRule="exact"/>
        <w:rPr>
          <w:rFonts w:ascii="仿宋_GB2312" w:hAnsi="仿宋_GB2312" w:eastAsia="仿宋_GB2312" w:cs="仿宋_GB2312"/>
          <w:sz w:val="32"/>
          <w:szCs w:val="32"/>
        </w:rPr>
      </w:pPr>
    </w:p>
    <w:p w14:paraId="35F91EB2">
      <w:pPr>
        <w:spacing w:line="60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东发改投字〔20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val="en-US" w:eastAsia="zh-CN"/>
        </w:rPr>
        <w:t xml:space="preserve"> </w:t>
      </w:r>
    </w:p>
    <w:p w14:paraId="268963F7">
      <w:pPr>
        <w:spacing w:line="600" w:lineRule="exact"/>
        <w:jc w:val="center"/>
        <w:rPr>
          <w:rFonts w:ascii="仿宋_GB2312" w:hAnsi="仿宋_GB2312" w:eastAsia="仿宋_GB2312" w:cs="仿宋_GB2312"/>
          <w:sz w:val="32"/>
          <w:szCs w:val="32"/>
        </w:rPr>
      </w:pPr>
    </w:p>
    <w:p w14:paraId="69AE7DBC">
      <w:pPr>
        <w:spacing w:line="560" w:lineRule="exact"/>
        <w:jc w:val="center"/>
        <w:rPr>
          <w:rFonts w:ascii="方正小标宋简体" w:hAnsi="宋体" w:eastAsia="方正小标宋简体" w:cs="宋体"/>
          <w:b/>
          <w:sz w:val="44"/>
          <w:szCs w:val="44"/>
        </w:rPr>
      </w:pPr>
    </w:p>
    <w:p w14:paraId="0F1293F2">
      <w:pPr>
        <w:spacing w:line="560" w:lineRule="exact"/>
        <w:jc w:val="center"/>
        <w:rPr>
          <w:rFonts w:hint="eastAsia" w:ascii="方正小标宋简体" w:hAnsi="宋体" w:eastAsia="方正小标宋简体" w:cs="宋体"/>
          <w:b/>
          <w:sz w:val="44"/>
          <w:szCs w:val="44"/>
        </w:rPr>
      </w:pPr>
      <w:r>
        <w:rPr>
          <w:rFonts w:hint="eastAsia" w:ascii="方正小标宋简体" w:hAnsi="方正小标宋简体" w:eastAsia="方正小标宋简体" w:cs="方正小标宋简体"/>
          <w:b/>
          <w:bCs/>
          <w:sz w:val="44"/>
          <w:szCs w:val="44"/>
          <w:lang w:val="en-US" w:eastAsia="zh-CN"/>
        </w:rPr>
        <w:t>关于对东湖区劳动人事争议仲裁院及流动人员档案服务中心提升改造项目</w:t>
      </w:r>
      <w:r>
        <w:rPr>
          <w:rFonts w:hint="eastAsia" w:ascii="方正小标宋简体" w:hAnsi="宋体" w:eastAsia="方正小标宋简体" w:cs="宋体"/>
          <w:b/>
          <w:sz w:val="44"/>
          <w:szCs w:val="44"/>
          <w:lang w:val="en-US" w:eastAsia="zh-CN"/>
        </w:rPr>
        <w:t>可行性研究报告</w:t>
      </w:r>
      <w:r>
        <w:rPr>
          <w:rFonts w:hint="eastAsia" w:ascii="方正小标宋简体" w:hAnsi="宋体" w:eastAsia="方正小标宋简体" w:cs="宋体"/>
          <w:b/>
          <w:sz w:val="44"/>
          <w:szCs w:val="44"/>
          <w:lang w:eastAsia="zh-CN"/>
        </w:rPr>
        <w:t>的批</w:t>
      </w:r>
      <w:r>
        <w:rPr>
          <w:rFonts w:hint="eastAsia" w:ascii="方正小标宋简体" w:hAnsi="宋体" w:eastAsia="方正小标宋简体" w:cs="宋体"/>
          <w:b/>
          <w:sz w:val="44"/>
          <w:szCs w:val="44"/>
        </w:rPr>
        <w:t>复</w:t>
      </w:r>
    </w:p>
    <w:p w14:paraId="4C92292B">
      <w:pPr>
        <w:spacing w:line="600" w:lineRule="exact"/>
        <w:rPr>
          <w:rFonts w:hint="eastAsia" w:ascii="仿宋_GB2312" w:hAnsi="仿宋_GB2312" w:eastAsia="仿宋_GB2312" w:cs="仿宋_GB2312"/>
          <w:sz w:val="32"/>
          <w:szCs w:val="32"/>
          <w:lang w:eastAsia="zh-CN"/>
        </w:rPr>
      </w:pPr>
    </w:p>
    <w:p w14:paraId="6A1FF873">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南昌市东湖区</w:t>
      </w:r>
      <w:r>
        <w:rPr>
          <w:rFonts w:hint="eastAsia" w:ascii="仿宋_GB2312" w:hAnsi="仿宋_GB2312" w:eastAsia="仿宋_GB2312" w:cs="仿宋_GB2312"/>
          <w:sz w:val="32"/>
          <w:szCs w:val="32"/>
          <w:lang w:val="en-US" w:eastAsia="zh-CN"/>
        </w:rPr>
        <w:t>人力资源和社会保障局</w:t>
      </w:r>
      <w:r>
        <w:rPr>
          <w:rFonts w:hint="eastAsia" w:ascii="仿宋_GB2312" w:hAnsi="仿宋_GB2312" w:eastAsia="仿宋_GB2312" w:cs="仿宋_GB2312"/>
          <w:sz w:val="32"/>
          <w:szCs w:val="32"/>
        </w:rPr>
        <w:t>：</w:t>
      </w:r>
    </w:p>
    <w:p w14:paraId="37C6B399">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报来《关于</w:t>
      </w:r>
      <w:r>
        <w:rPr>
          <w:rFonts w:hint="eastAsia" w:ascii="仿宋_GB2312" w:hAnsi="仿宋_GB2312" w:eastAsia="仿宋_GB2312" w:cs="仿宋_GB2312"/>
          <w:sz w:val="32"/>
          <w:szCs w:val="32"/>
          <w:lang w:val="en-US" w:eastAsia="zh-CN"/>
        </w:rPr>
        <w:t>请求</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东湖区劳动人事争议仲裁院及流动人员档案服务中心提升改造项目</w:t>
      </w:r>
      <w:r>
        <w:rPr>
          <w:rFonts w:hint="eastAsia" w:ascii="仿宋_GB2312" w:hAnsi="仿宋_GB2312" w:eastAsia="仿宋_GB2312" w:cs="仿宋_GB2312"/>
          <w:sz w:val="32"/>
          <w:szCs w:val="32"/>
        </w:rPr>
        <w:t>可行性研究报告审批的函</w:t>
      </w:r>
      <w:r>
        <w:rPr>
          <w:rFonts w:hint="eastAsia" w:ascii="仿宋_GB2312" w:hAnsi="仿宋_GB2312" w:eastAsia="仿宋_GB2312" w:cs="仿宋_GB2312"/>
          <w:b w:val="0"/>
          <w:bCs/>
          <w:sz w:val="32"/>
          <w:szCs w:val="32"/>
          <w:lang w:val="en-US" w:eastAsia="zh-CN"/>
        </w:rPr>
        <w:t>》（东人社文〔2026〕2号）及有关材料收悉。经</w:t>
      </w:r>
      <w:r>
        <w:rPr>
          <w:rFonts w:hint="eastAsia" w:ascii="仿宋_GB2312" w:hAnsi="仿宋_GB2312" w:eastAsia="仿宋_GB2312" w:cs="仿宋_GB2312"/>
          <w:sz w:val="32"/>
          <w:szCs w:val="32"/>
          <w:lang w:val="en-US" w:eastAsia="zh-CN"/>
        </w:rPr>
        <w:t>研究，现就该项目可行性研究报告批复</w:t>
      </w:r>
      <w:r>
        <w:rPr>
          <w:rFonts w:hint="eastAsia" w:ascii="仿宋_GB2312" w:hAnsi="仿宋_GB2312" w:eastAsia="仿宋_GB2312" w:cs="仿宋_GB2312"/>
          <w:sz w:val="32"/>
          <w:szCs w:val="32"/>
          <w:lang w:eastAsia="zh-CN"/>
        </w:rPr>
        <w:t>如下：</w:t>
      </w:r>
    </w:p>
    <w:p w14:paraId="2A568233">
      <w:pPr>
        <w:numPr>
          <w:ilvl w:val="0"/>
          <w:numId w:val="1"/>
        </w:num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lang w:val="en-US" w:eastAsia="zh-CN"/>
        </w:rPr>
        <w:t>了优化区域公共服务供给、满足群众政务需求的需要。依据《政府投资条例》（</w:t>
      </w:r>
      <w:r>
        <w:rPr>
          <w:rFonts w:hint="eastAsia" w:ascii="仿宋_GB2312" w:hAnsi="仿宋_GB2312" w:eastAsia="仿宋_GB2312" w:cs="仿宋_GB2312"/>
          <w:sz w:val="32"/>
          <w:szCs w:val="32"/>
          <w:lang w:eastAsia="zh-CN"/>
        </w:rPr>
        <w:t>国务院令</w:t>
      </w:r>
      <w:r>
        <w:rPr>
          <w:rFonts w:hint="eastAsia" w:ascii="仿宋_GB2312" w:hAnsi="仿宋_GB2312" w:eastAsia="仿宋_GB2312" w:cs="仿宋_GB2312"/>
          <w:sz w:val="32"/>
          <w:szCs w:val="32"/>
          <w:lang w:val="en-US" w:eastAsia="zh-CN"/>
        </w:rPr>
        <w:t>712号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东湖区</w:t>
      </w:r>
      <w:r>
        <w:rPr>
          <w:rFonts w:hint="eastAsia" w:ascii="仿宋_GB2312" w:hAnsi="仿宋_GB2312" w:eastAsia="仿宋_GB2312" w:cs="仿宋_GB2312"/>
          <w:sz w:val="32"/>
          <w:szCs w:val="32"/>
          <w:lang w:eastAsia="zh-CN"/>
        </w:rPr>
        <w:t>政府投资管理办法》（</w:t>
      </w:r>
      <w:r>
        <w:rPr>
          <w:rFonts w:hint="eastAsia" w:ascii="仿宋_GB2312" w:hAnsi="仿宋_GB2312" w:eastAsia="仿宋_GB2312" w:cs="仿宋_GB2312"/>
          <w:b w:val="0"/>
          <w:bCs/>
          <w:sz w:val="32"/>
          <w:szCs w:val="32"/>
          <w:lang w:val="en-US" w:eastAsia="zh-CN"/>
        </w:rPr>
        <w:t>东府发〔2023〕1号</w:t>
      </w:r>
      <w:r>
        <w:rPr>
          <w:rFonts w:hint="eastAsia" w:ascii="仿宋_GB2312" w:hAnsi="仿宋_GB2312" w:eastAsia="仿宋_GB2312" w:cs="仿宋_GB2312"/>
          <w:sz w:val="32"/>
          <w:szCs w:val="32"/>
          <w:lang w:eastAsia="zh-CN"/>
        </w:rPr>
        <w:t>），同意建设</w:t>
      </w:r>
      <w:r>
        <w:rPr>
          <w:rFonts w:hint="eastAsia" w:ascii="仿宋_GB2312" w:hAnsi="仿宋_GB2312" w:eastAsia="仿宋_GB2312" w:cs="仿宋_GB2312"/>
          <w:sz w:val="32"/>
          <w:szCs w:val="32"/>
          <w:lang w:val="en-US" w:eastAsia="zh-CN"/>
        </w:rPr>
        <w:t>东湖区劳动人事争议仲裁院及流动人员档案服务中心提升改造项目（项目代码：2603-360102-04-01-500272）。</w:t>
      </w:r>
    </w:p>
    <w:p w14:paraId="3116E798">
      <w:pPr>
        <w:numPr>
          <w:ilvl w:val="0"/>
          <w:numId w:val="0"/>
        </w:numPr>
        <w:spacing w:line="600" w:lineRule="exact"/>
        <w:ind w:firstLine="640" w:firstLineChars="200"/>
        <w:rPr>
          <w:rFonts w:hint="eastAsia" w:ascii="宋体" w:hAnsi="宋体" w:eastAsia="宋体" w:cs="宋体"/>
          <w:b/>
          <w:sz w:val="24"/>
          <w:szCs w:val="24"/>
          <w:lang w:val="en-US" w:eastAsia="zh-CN"/>
        </w:rPr>
      </w:pPr>
      <w:r>
        <w:rPr>
          <w:rFonts w:hint="eastAsia" w:ascii="仿宋_GB2312" w:hAnsi="仿宋_GB2312" w:eastAsia="仿宋_GB2312" w:cs="仿宋_GB2312"/>
          <w:sz w:val="32"/>
          <w:szCs w:val="32"/>
          <w:lang w:val="en-US" w:eastAsia="zh-CN"/>
        </w:rPr>
        <w:t>项目单位为</w:t>
      </w:r>
      <w:r>
        <w:rPr>
          <w:rFonts w:hint="eastAsia" w:ascii="仿宋_GB2312" w:hAnsi="仿宋_GB2312" w:eastAsia="仿宋_GB2312" w:cs="仿宋_GB2312"/>
          <w:sz w:val="32"/>
          <w:szCs w:val="32"/>
          <w:lang w:eastAsia="zh-CN"/>
        </w:rPr>
        <w:t>南昌市东湖区</w:t>
      </w:r>
      <w:r>
        <w:rPr>
          <w:rFonts w:hint="eastAsia" w:ascii="仿宋_GB2312" w:hAnsi="仿宋_GB2312" w:eastAsia="仿宋_GB2312" w:cs="仿宋_GB2312"/>
          <w:sz w:val="32"/>
          <w:szCs w:val="32"/>
          <w:lang w:val="en-US" w:eastAsia="zh-CN"/>
        </w:rPr>
        <w:t>人力资源和社会保障局。</w:t>
      </w:r>
    </w:p>
    <w:p w14:paraId="063AF877">
      <w:pPr>
        <w:numPr>
          <w:ilvl w:val="0"/>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二、项目建设地点：南昌市东湖区董家窑街道五纬路社区邻里中心（董家窑农贸市场）。</w:t>
      </w:r>
    </w:p>
    <w:p w14:paraId="6FBE4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eastAsia="zh-CN"/>
        </w:rPr>
        <w:t>三、</w:t>
      </w:r>
      <w:r>
        <w:rPr>
          <w:rFonts w:hint="eastAsia" w:ascii="仿宋_GB2312" w:hAnsi="Times New Roman" w:eastAsia="仿宋_GB2312" w:cs="Times New Roman"/>
          <w:sz w:val="32"/>
          <w:szCs w:val="32"/>
        </w:rPr>
        <w:t>项目建设内容及规模</w:t>
      </w:r>
      <w:r>
        <w:rPr>
          <w:rFonts w:hint="eastAsia" w:ascii="仿宋_GB2312" w:hAnsi="仿宋_GB2312" w:eastAsia="仿宋_GB2312" w:cs="仿宋_GB2312"/>
          <w:color w:val="000000"/>
          <w:sz w:val="32"/>
          <w:szCs w:val="32"/>
          <w:lang w:val="en-US" w:eastAsia="zh-CN"/>
        </w:rPr>
        <w:t>：对董家窑街道五纬路社区邻里中心一、二层、三层局部改造，涉及总建筑面积约 714.4 ㎡，建设内容包括拆除工程、室内装饰工程、消防改造工程、水电改造工程及外立面铭牌、电子显示门牌、文化展板、电脑等设备购置</w:t>
      </w:r>
      <w:r>
        <w:rPr>
          <w:rFonts w:hint="eastAsia" w:ascii="仿宋_GB2312" w:eastAsia="仿宋_GB2312" w:cs="Times New Roman"/>
          <w:sz w:val="32"/>
          <w:szCs w:val="32"/>
          <w:lang w:val="en-US" w:eastAsia="zh-CN"/>
        </w:rPr>
        <w:t>。</w:t>
      </w:r>
    </w:p>
    <w:p w14:paraId="5C35FCAB">
      <w:pPr>
        <w:numPr>
          <w:ilvl w:val="0"/>
          <w:numId w:val="0"/>
        </w:numPr>
        <w:spacing w:line="600" w:lineRule="exact"/>
        <w:ind w:firstLine="640" w:firstLineChars="200"/>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四、</w:t>
      </w:r>
      <w:r>
        <w:rPr>
          <w:rFonts w:hint="eastAsia" w:ascii="仿宋_GB2312" w:hAnsi="仿宋_GB2312" w:eastAsia="仿宋_GB2312" w:cs="仿宋_GB2312"/>
          <w:color w:val="000000"/>
          <w:sz w:val="32"/>
          <w:szCs w:val="32"/>
          <w:lang w:eastAsia="zh-CN"/>
        </w:rPr>
        <w:t>项目计划建设工期</w:t>
      </w:r>
      <w:r>
        <w:rPr>
          <w:rFonts w:hint="eastAsia" w:ascii="仿宋_GB2312" w:hAnsi="仿宋_GB2312" w:eastAsia="仿宋_GB2312" w:cs="仿宋_GB2312"/>
          <w:color w:val="000000"/>
          <w:sz w:val="32"/>
          <w:szCs w:val="32"/>
          <w:lang w:val="en-US" w:eastAsia="zh-CN"/>
        </w:rPr>
        <w:t>4个月。</w:t>
      </w:r>
    </w:p>
    <w:p w14:paraId="547E562D">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五、</w:t>
      </w:r>
      <w:r>
        <w:rPr>
          <w:rFonts w:hint="eastAsia" w:ascii="仿宋_GB2312" w:hAnsi="Times New Roman" w:eastAsia="仿宋_GB2312" w:cs="Times New Roman"/>
          <w:sz w:val="32"/>
          <w:szCs w:val="32"/>
        </w:rPr>
        <w:t>项目总投资估算为</w:t>
      </w:r>
      <w:r>
        <w:rPr>
          <w:rFonts w:hint="eastAsia" w:ascii="仿宋_GB2312" w:eastAsia="仿宋_GB2312" w:cs="Times New Roman"/>
          <w:sz w:val="32"/>
          <w:szCs w:val="32"/>
          <w:lang w:val="en-US" w:eastAsia="zh-CN"/>
        </w:rPr>
        <w:t>94.23</w:t>
      </w:r>
      <w:r>
        <w:rPr>
          <w:rFonts w:hint="eastAsia" w:ascii="仿宋_GB2312" w:hAnsi="Times New Roman" w:eastAsia="仿宋_GB2312" w:cs="Times New Roman"/>
          <w:sz w:val="32"/>
          <w:szCs w:val="32"/>
          <w:lang w:val="en-US" w:eastAsia="zh-CN"/>
        </w:rPr>
        <w:t>万元</w:t>
      </w:r>
      <w:r>
        <w:rPr>
          <w:rFonts w:hint="eastAsia" w:ascii="仿宋_GB2312" w:hAnsi="Times New Roman" w:eastAsia="仿宋_GB2312" w:cs="Times New Roman"/>
          <w:sz w:val="32"/>
          <w:szCs w:val="32"/>
          <w:lang w:eastAsia="zh-CN"/>
        </w:rPr>
        <w:t>，其中：工程费用</w:t>
      </w:r>
      <w:r>
        <w:rPr>
          <w:rFonts w:hint="eastAsia" w:ascii="仿宋_GB2312" w:eastAsia="仿宋_GB2312" w:cs="Times New Roman"/>
          <w:sz w:val="32"/>
          <w:szCs w:val="32"/>
          <w:lang w:val="en-US" w:eastAsia="zh-CN"/>
        </w:rPr>
        <w:t>78.91</w:t>
      </w:r>
      <w:r>
        <w:rPr>
          <w:rFonts w:hint="eastAsia" w:ascii="仿宋_GB2312" w:hAnsi="Times New Roman" w:eastAsia="仿宋_GB2312" w:cs="Times New Roman"/>
          <w:sz w:val="32"/>
          <w:szCs w:val="32"/>
          <w:lang w:val="en-US" w:eastAsia="zh-CN"/>
        </w:rPr>
        <w:t>万元，工程建设其他费用</w:t>
      </w:r>
      <w:r>
        <w:rPr>
          <w:rFonts w:hint="eastAsia" w:ascii="仿宋_GB2312" w:eastAsia="仿宋_GB2312" w:cs="Times New Roman"/>
          <w:sz w:val="32"/>
          <w:szCs w:val="32"/>
          <w:lang w:val="en-US" w:eastAsia="zh-CN"/>
        </w:rPr>
        <w:t>11.37</w:t>
      </w:r>
      <w:r>
        <w:rPr>
          <w:rFonts w:hint="eastAsia" w:ascii="仿宋_GB2312" w:hAnsi="Times New Roman" w:eastAsia="仿宋_GB2312" w:cs="Times New Roman"/>
          <w:sz w:val="32"/>
          <w:szCs w:val="32"/>
          <w:lang w:val="en-US" w:eastAsia="zh-CN"/>
        </w:rPr>
        <w:t>万元，预备费</w:t>
      </w:r>
      <w:r>
        <w:rPr>
          <w:rFonts w:hint="eastAsia" w:ascii="仿宋_GB2312" w:eastAsia="仿宋_GB2312" w:cs="Times New Roman"/>
          <w:sz w:val="32"/>
          <w:szCs w:val="32"/>
          <w:lang w:val="en-US" w:eastAsia="zh-CN"/>
        </w:rPr>
        <w:t>3.95</w:t>
      </w:r>
      <w:r>
        <w:rPr>
          <w:rFonts w:hint="eastAsia" w:ascii="仿宋_GB2312" w:hAnsi="Times New Roman" w:eastAsia="仿宋_GB2312" w:cs="Times New Roman"/>
          <w:sz w:val="32"/>
          <w:szCs w:val="32"/>
          <w:lang w:val="en-US" w:eastAsia="zh-CN"/>
        </w:rPr>
        <w:t>万元。</w:t>
      </w:r>
      <w:r>
        <w:rPr>
          <w:rFonts w:hint="eastAsia" w:ascii="仿宋_GB2312" w:hAnsi="Times New Roman" w:eastAsia="仿宋_GB2312" w:cs="Times New Roman"/>
          <w:sz w:val="32"/>
          <w:szCs w:val="32"/>
        </w:rPr>
        <w:t>资金来源：区财政</w:t>
      </w:r>
      <w:r>
        <w:rPr>
          <w:rFonts w:hint="eastAsia" w:ascii="仿宋_GB2312" w:eastAsia="仿宋_GB2312" w:cs="Times New Roman"/>
          <w:sz w:val="32"/>
          <w:szCs w:val="32"/>
          <w:lang w:val="en-US" w:eastAsia="zh-CN"/>
        </w:rPr>
        <w:t>统</w:t>
      </w:r>
      <w:r>
        <w:rPr>
          <w:rFonts w:hint="eastAsia" w:ascii="仿宋_GB2312" w:hAnsi="Times New Roman" w:eastAsia="仿宋_GB2312" w:cs="Times New Roman"/>
          <w:sz w:val="32"/>
          <w:szCs w:val="32"/>
        </w:rPr>
        <w:t>筹解决</w:t>
      </w:r>
      <w:r>
        <w:rPr>
          <w:rFonts w:hint="eastAsia" w:ascii="仿宋_GB2312" w:hAnsi="仿宋_GB2312" w:eastAsia="仿宋_GB2312" w:cs="仿宋_GB2312"/>
          <w:color w:val="000000"/>
          <w:sz w:val="32"/>
          <w:szCs w:val="32"/>
          <w:lang w:eastAsia="zh-CN"/>
        </w:rPr>
        <w:t>。</w:t>
      </w:r>
    </w:p>
    <w:p w14:paraId="3A702212">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六、项目建设过程中，应严格执行《</w:t>
      </w:r>
      <w:r>
        <w:rPr>
          <w:rFonts w:hint="eastAsia" w:ascii="仿宋_GB2312" w:hAnsi="仿宋_GB2312" w:eastAsia="仿宋_GB2312" w:cs="仿宋_GB2312"/>
          <w:color w:val="000000"/>
          <w:sz w:val="32"/>
          <w:szCs w:val="32"/>
          <w:lang w:val="en-US" w:eastAsia="zh-CN"/>
        </w:rPr>
        <w:t>中华人民共和国</w:t>
      </w:r>
      <w:r>
        <w:rPr>
          <w:rFonts w:hint="eastAsia" w:ascii="仿宋_GB2312" w:hAnsi="仿宋_GB2312" w:eastAsia="仿宋_GB2312" w:cs="仿宋_GB2312"/>
          <w:color w:val="000000"/>
          <w:sz w:val="32"/>
          <w:szCs w:val="32"/>
          <w:lang w:eastAsia="zh-CN"/>
        </w:rPr>
        <w:t>招标投标法》《东湖区小额工程建设管理实施细则（试行）》等有关法律法规和规章规定，认真组织项目的招标投标工作。</w:t>
      </w:r>
      <w:bookmarkStart w:id="0" w:name="_GoBack"/>
      <w:bookmarkEnd w:id="0"/>
    </w:p>
    <w:p w14:paraId="48DD3CBC">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color w:val="000000"/>
          <w:sz w:val="32"/>
          <w:szCs w:val="32"/>
          <w:lang w:eastAsia="zh-CN"/>
        </w:rPr>
        <w:t>七、</w:t>
      </w:r>
      <w:r>
        <w:rPr>
          <w:rFonts w:hint="eastAsia" w:ascii="仿宋_GB2312" w:eastAsia="仿宋_GB2312"/>
          <w:sz w:val="32"/>
          <w:szCs w:val="32"/>
          <w:lang w:eastAsia="zh-CN"/>
        </w:rPr>
        <w:t>请</w:t>
      </w:r>
      <w:r>
        <w:rPr>
          <w:rFonts w:hint="eastAsia" w:ascii="仿宋_GB2312" w:hAnsi="仿宋_GB2312" w:eastAsia="仿宋_GB2312" w:cs="仿宋_GB2312"/>
          <w:sz w:val="32"/>
          <w:szCs w:val="32"/>
          <w:lang w:eastAsia="zh-CN"/>
        </w:rPr>
        <w:t>南昌市东湖区</w:t>
      </w:r>
      <w:r>
        <w:rPr>
          <w:rFonts w:hint="eastAsia" w:ascii="仿宋_GB2312" w:hAnsi="仿宋_GB2312" w:eastAsia="仿宋_GB2312" w:cs="仿宋_GB2312"/>
          <w:sz w:val="32"/>
          <w:szCs w:val="32"/>
          <w:lang w:val="en-US" w:eastAsia="zh-CN"/>
        </w:rPr>
        <w:t>人力资源和社会保障局</w:t>
      </w:r>
      <w:r>
        <w:rPr>
          <w:rFonts w:hint="eastAsia" w:ascii="仿宋_GB2312" w:eastAsia="仿宋_GB2312"/>
          <w:sz w:val="32"/>
          <w:szCs w:val="32"/>
          <w:lang w:eastAsia="zh-CN"/>
        </w:rPr>
        <w:t>按照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东湖区</w:t>
      </w:r>
      <w:r>
        <w:rPr>
          <w:rFonts w:hint="eastAsia" w:ascii="仿宋_GB2312" w:hAnsi="仿宋_GB2312" w:eastAsia="仿宋_GB2312" w:cs="仿宋_GB2312"/>
          <w:sz w:val="32"/>
          <w:szCs w:val="32"/>
          <w:lang w:eastAsia="zh-CN"/>
        </w:rPr>
        <w:t>政府投资管理办法》（</w:t>
      </w:r>
      <w:r>
        <w:rPr>
          <w:rFonts w:hint="eastAsia" w:ascii="仿宋_GB2312" w:hAnsi="仿宋_GB2312" w:eastAsia="仿宋_GB2312" w:cs="仿宋_GB2312"/>
          <w:b w:val="0"/>
          <w:bCs/>
          <w:sz w:val="32"/>
          <w:szCs w:val="32"/>
          <w:lang w:val="en-US" w:eastAsia="zh-CN"/>
        </w:rPr>
        <w:t>东府发〔2023〕1号</w:t>
      </w:r>
      <w:r>
        <w:rPr>
          <w:rFonts w:hint="eastAsia" w:ascii="仿宋_GB2312" w:hAnsi="仿宋_GB2312" w:eastAsia="仿宋_GB2312" w:cs="仿宋_GB2312"/>
          <w:sz w:val="32"/>
          <w:szCs w:val="32"/>
          <w:lang w:eastAsia="zh-CN"/>
        </w:rPr>
        <w:t>）要求</w:t>
      </w:r>
      <w:r>
        <w:rPr>
          <w:rFonts w:hint="eastAsia" w:ascii="仿宋_GB2312" w:eastAsia="仿宋_GB2312"/>
          <w:sz w:val="32"/>
          <w:szCs w:val="32"/>
          <w:lang w:eastAsia="zh-CN"/>
        </w:rPr>
        <w:t>，在下一步工作中加强项目管理，严格控制投资，确保建设工期和质量。严禁在项目中设置培训中心等各类具有住宿、会议、餐饮等接待功能的设施或场所。</w:t>
      </w:r>
    </w:p>
    <w:p w14:paraId="00DD99D7">
      <w:pPr>
        <w:keepNext w:val="0"/>
        <w:keepLines w:val="0"/>
        <w:pageBreakBefore w:val="0"/>
        <w:widowControl w:val="0"/>
        <w:numPr>
          <w:ilvl w:val="0"/>
          <w:numId w:val="2"/>
        </w:numPr>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lang w:eastAsia="zh-CN"/>
        </w:rPr>
        <w:t>如需对本项目批复文件所规定的建设地点、建设规模、主要建设内容等进行调整，请按照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东湖区</w:t>
      </w:r>
      <w:r>
        <w:rPr>
          <w:rFonts w:hint="eastAsia" w:ascii="仿宋_GB2312" w:hAnsi="仿宋_GB2312" w:eastAsia="仿宋_GB2312" w:cs="仿宋_GB2312"/>
          <w:sz w:val="32"/>
          <w:szCs w:val="32"/>
          <w:lang w:eastAsia="zh-CN"/>
        </w:rPr>
        <w:t>政府投资管理办法》（</w:t>
      </w:r>
      <w:r>
        <w:rPr>
          <w:rFonts w:hint="eastAsia" w:ascii="仿宋_GB2312" w:hAnsi="仿宋_GB2312" w:eastAsia="仿宋_GB2312" w:cs="仿宋_GB2312"/>
          <w:b w:val="0"/>
          <w:bCs/>
          <w:sz w:val="32"/>
          <w:szCs w:val="32"/>
          <w:lang w:val="en-US" w:eastAsia="zh-CN"/>
        </w:rPr>
        <w:t>东府发〔2023〕1号</w:t>
      </w:r>
      <w:r>
        <w:rPr>
          <w:rFonts w:hint="eastAsia" w:ascii="仿宋_GB2312" w:hAnsi="仿宋_GB2312" w:eastAsia="仿宋_GB2312" w:cs="仿宋_GB2312"/>
          <w:sz w:val="32"/>
          <w:szCs w:val="32"/>
          <w:lang w:eastAsia="zh-CN"/>
        </w:rPr>
        <w:t>）的有关规定，及时提出变更申请，我委将根据项目具体情况，作出是否同意变更的书面决定。</w:t>
      </w:r>
    </w:p>
    <w:p w14:paraId="42122877">
      <w:pPr>
        <w:keepNext w:val="0"/>
        <w:keepLines w:val="0"/>
        <w:pageBreakBefore w:val="0"/>
        <w:widowControl w:val="0"/>
        <w:numPr>
          <w:ilvl w:val="0"/>
          <w:numId w:val="2"/>
        </w:numPr>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eastAsia" w:ascii="仿宋_GB2312" w:eastAsia="仿宋_GB2312"/>
          <w:sz w:val="32"/>
          <w:szCs w:val="32"/>
          <w:lang w:eastAsia="zh-CN"/>
        </w:rPr>
      </w:pPr>
      <w:r>
        <w:rPr>
          <w:rFonts w:hint="eastAsia" w:ascii="仿宋_GB2312" w:hAnsi="仿宋_GB2312" w:eastAsia="仿宋_GB2312" w:cs="仿宋_GB2312"/>
          <w:b w:val="0"/>
          <w:bCs w:val="0"/>
          <w:sz w:val="32"/>
          <w:szCs w:val="32"/>
          <w:lang w:eastAsia="zh-CN"/>
        </w:rPr>
        <w:t>请</w:t>
      </w:r>
      <w:r>
        <w:rPr>
          <w:rFonts w:hint="eastAsia" w:ascii="仿宋_GB2312" w:hAnsi="仿宋_GB2312" w:eastAsia="仿宋_GB2312" w:cs="仿宋_GB2312"/>
          <w:sz w:val="32"/>
          <w:szCs w:val="32"/>
          <w:lang w:eastAsia="zh-CN"/>
        </w:rPr>
        <w:t>南昌市东湖区</w:t>
      </w:r>
      <w:r>
        <w:rPr>
          <w:rFonts w:hint="eastAsia" w:ascii="仿宋_GB2312" w:hAnsi="仿宋_GB2312" w:eastAsia="仿宋_GB2312" w:cs="仿宋_GB2312"/>
          <w:sz w:val="32"/>
          <w:szCs w:val="32"/>
          <w:lang w:val="en-US" w:eastAsia="zh-CN"/>
        </w:rPr>
        <w:t>人力资源和社会保障局</w:t>
      </w:r>
      <w:r>
        <w:rPr>
          <w:rFonts w:hint="eastAsia" w:ascii="仿宋_GB2312" w:eastAsia="仿宋_GB2312"/>
          <w:sz w:val="32"/>
          <w:szCs w:val="32"/>
          <w:lang w:eastAsia="zh-CN"/>
        </w:rPr>
        <w:t>在项目开工建设前，依据相关法律、行政法规规定办理规划许可、土地使用、资源利用、安全生产、环评等相关报建手续。</w:t>
      </w:r>
    </w:p>
    <w:p w14:paraId="424A86E5">
      <w:pPr>
        <w:keepNext w:val="0"/>
        <w:keepLines w:val="0"/>
        <w:pageBreakBefore w:val="0"/>
        <w:widowControl w:val="0"/>
        <w:numPr>
          <w:ilvl w:val="0"/>
          <w:numId w:val="2"/>
        </w:numPr>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eastAsia" w:ascii="仿宋_GB2312" w:eastAsia="仿宋_GB2312"/>
          <w:sz w:val="32"/>
          <w:szCs w:val="32"/>
          <w:lang w:eastAsia="zh-CN"/>
        </w:rPr>
      </w:pPr>
      <w:r>
        <w:rPr>
          <w:rFonts w:hint="eastAsia" w:ascii="仿宋_GB2312" w:eastAsia="仿宋_GB2312"/>
          <w:sz w:val="32"/>
          <w:szCs w:val="32"/>
          <w:lang w:eastAsia="zh-CN"/>
        </w:rPr>
        <w:t>工程建设必须按照《中华人民共和国安全生产法》要求，严格执行“建设项目安全设施与主体工程同时设计、同时施工、同时投入使用”的安全生产“三同时”制度，认真落实各项安全生产措施。</w:t>
      </w:r>
    </w:p>
    <w:p w14:paraId="5301980D">
      <w:pPr>
        <w:keepNext w:val="0"/>
        <w:keepLines w:val="0"/>
        <w:pageBreakBefore w:val="0"/>
        <w:widowControl w:val="0"/>
        <w:numPr>
          <w:ilvl w:val="0"/>
          <w:numId w:val="2"/>
        </w:numPr>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eastAsia" w:ascii="仿宋_GB2312" w:eastAsia="仿宋_GB2312"/>
          <w:sz w:val="32"/>
          <w:szCs w:val="32"/>
          <w:lang w:eastAsia="zh-CN"/>
        </w:rPr>
      </w:pPr>
      <w:r>
        <w:rPr>
          <w:rFonts w:hint="eastAsia" w:ascii="仿宋_GB2312" w:eastAsia="仿宋_GB2312"/>
          <w:sz w:val="32"/>
          <w:szCs w:val="32"/>
          <w:lang w:eastAsia="zh-CN"/>
        </w:rPr>
        <w:t>本批复有效期为二年，需要延期的请在二年期限届满的三十个工作日前，向我委申请延期。本批复只能延期一次，延期期限最长不得超过一年。国家另有规定的，依照其规定执行。</w:t>
      </w:r>
    </w:p>
    <w:p w14:paraId="308DF410">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1598" w:leftChars="304" w:right="0" w:rightChars="0" w:hanging="960" w:hangingChars="3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lang w:val="en-US" w:eastAsia="zh-CN"/>
        </w:rPr>
        <w:t>附件：</w:t>
      </w:r>
      <w:r>
        <w:rPr>
          <w:rFonts w:hint="eastAsia" w:ascii="仿宋_GB2312" w:hAnsi="仿宋_GB2312" w:eastAsia="仿宋_GB2312" w:cs="仿宋_GB2312"/>
          <w:sz w:val="32"/>
          <w:szCs w:val="32"/>
          <w:lang w:val="en-US" w:eastAsia="zh-CN"/>
        </w:rPr>
        <w:t>东湖区劳动人事争议仲裁院及流动人员档案服务中心提升改造项目</w:t>
      </w:r>
      <w:r>
        <w:rPr>
          <w:rFonts w:hint="eastAsia" w:ascii="仿宋_GB2312" w:eastAsia="仿宋_GB2312"/>
          <w:sz w:val="32"/>
          <w:szCs w:val="32"/>
          <w:lang w:val="en-US" w:eastAsia="zh-CN"/>
        </w:rPr>
        <w:t>概算总表</w:t>
      </w:r>
    </w:p>
    <w:p w14:paraId="5C27D099">
      <w:pPr>
        <w:spacing w:line="720"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4A4748C8">
      <w:pPr>
        <w:spacing w:line="72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6月9</w:t>
      </w:r>
      <w:r>
        <w:rPr>
          <w:rFonts w:hint="eastAsia" w:ascii="仿宋_GB2312" w:hAnsi="仿宋_GB2312" w:eastAsia="仿宋_GB2312" w:cs="仿宋_GB2312"/>
          <w:sz w:val="32"/>
          <w:szCs w:val="32"/>
        </w:rPr>
        <w:t>日</w:t>
      </w:r>
    </w:p>
    <w:p w14:paraId="1624FF42">
      <w:pPr>
        <w:pStyle w:val="9"/>
        <w:ind w:left="0" w:leftChars="0" w:firstLine="0" w:firstLineChars="0"/>
        <w:rPr>
          <w:rFonts w:hint="eastAsia"/>
        </w:rPr>
      </w:pPr>
    </w:p>
    <w:p w14:paraId="122A9EDA">
      <w:pPr>
        <w:pStyle w:val="11"/>
        <w:rPr>
          <w:rFonts w:hint="eastAsia"/>
        </w:rPr>
      </w:pPr>
    </w:p>
    <w:p w14:paraId="348B83E1">
      <w:pPr>
        <w:pStyle w:val="4"/>
        <w:ind w:left="0" w:leftChars="0" w:firstLine="0" w:firstLineChars="0"/>
        <w:rPr>
          <w:rFonts w:hint="eastAsia"/>
        </w:rPr>
      </w:pPr>
    </w:p>
    <w:p w14:paraId="00735181">
      <w:pPr>
        <w:rPr>
          <w:rFonts w:hint="eastAsia"/>
        </w:rPr>
      </w:pPr>
    </w:p>
    <w:p w14:paraId="623FE591">
      <w:pPr>
        <w:pStyle w:val="11"/>
        <w:ind w:left="0" w:leftChars="0" w:firstLine="0" w:firstLineChars="0"/>
        <w:rPr>
          <w:rFonts w:hint="eastAsia"/>
        </w:rPr>
      </w:pPr>
    </w:p>
    <w:p w14:paraId="5CC71846">
      <w:pPr>
        <w:pBdr>
          <w:top w:val="single" w:color="auto" w:sz="12" w:space="1"/>
          <w:bottom w:val="single" w:color="auto" w:sz="12" w:space="8"/>
        </w:pBdr>
        <w:spacing w:line="420" w:lineRule="exact"/>
        <w:ind w:firstLine="320" w:firstLineChars="100"/>
        <w:textAlignment w:val="top"/>
        <w:rPr>
          <w:rFonts w:hint="default" w:ascii="仿宋_GB2312" w:hAnsi="Times New Roman" w:eastAsia="仿宋_GB2312" w:cs="Times New Roman"/>
          <w:sz w:val="32"/>
          <w:szCs w:val="32"/>
          <w:lang w:val="en-US" w:eastAsia="zh-CN"/>
        </w:rPr>
      </w:pPr>
      <w:r>
        <w:rPr>
          <w:rFonts w:hint="eastAsia" w:ascii="仿宋_GB2312" w:hAnsi="仿宋_GB2312" w:eastAsia="仿宋_GB2312" w:cs="仿宋_GB2312"/>
          <w:sz w:val="32"/>
          <w:szCs w:val="32"/>
        </w:rPr>
        <w:t>东湖区发展和改革委员会办公室      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日印发</w:t>
      </w:r>
    </w:p>
    <w:tbl>
      <w:tblPr>
        <w:tblStyle w:val="7"/>
        <w:tblW w:w="86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2904"/>
        <w:gridCol w:w="1541"/>
        <w:gridCol w:w="3085"/>
      </w:tblGrid>
      <w:tr w14:paraId="7566F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8610" w:type="dxa"/>
            <w:gridSpan w:val="4"/>
            <w:tcBorders>
              <w:top w:val="nil"/>
              <w:left w:val="nil"/>
              <w:bottom w:val="nil"/>
              <w:right w:val="nil"/>
            </w:tcBorders>
            <w:shd w:val="clear" w:color="auto" w:fill="auto"/>
            <w:noWrap/>
            <w:vAlign w:val="center"/>
          </w:tcPr>
          <w:p w14:paraId="70B5D72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仿宋_GB2312" w:eastAsia="仿宋_GB2312"/>
                <w:b/>
                <w:bCs/>
                <w:sz w:val="28"/>
                <w:szCs w:val="28"/>
                <w:lang w:val="en-US" w:eastAsia="zh-CN"/>
              </w:rPr>
              <w:t>东湖区劳动人事争议仲裁院及流动人员档案服务中心提升改造项目概算总表</w:t>
            </w:r>
          </w:p>
        </w:tc>
      </w:tr>
      <w:tr w14:paraId="47BE5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8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916818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2904" w:type="dxa"/>
            <w:vMerge w:val="restart"/>
            <w:tcBorders>
              <w:top w:val="single" w:color="000000" w:sz="8" w:space="0"/>
              <w:left w:val="nil"/>
              <w:bottom w:val="single" w:color="000000" w:sz="8" w:space="0"/>
              <w:right w:val="single" w:color="000000" w:sz="8" w:space="0"/>
            </w:tcBorders>
            <w:shd w:val="clear" w:color="auto" w:fill="auto"/>
            <w:vAlign w:val="center"/>
          </w:tcPr>
          <w:p w14:paraId="52EB975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541" w:type="dxa"/>
            <w:vMerge w:val="restart"/>
            <w:tcBorders>
              <w:top w:val="single" w:color="000000" w:sz="8" w:space="0"/>
              <w:left w:val="nil"/>
              <w:bottom w:val="single" w:color="000000" w:sz="8" w:space="0"/>
              <w:right w:val="single" w:color="000000" w:sz="8" w:space="0"/>
            </w:tcBorders>
            <w:shd w:val="clear" w:color="auto" w:fill="auto"/>
            <w:vAlign w:val="center"/>
          </w:tcPr>
          <w:p w14:paraId="5D69633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投资概算</w:t>
            </w:r>
            <w:r>
              <w:rPr>
                <w:rFonts w:hint="eastAsia" w:ascii="宋体" w:hAnsi="宋体" w:cs="宋体"/>
                <w:b/>
                <w:bCs/>
                <w:i w:val="0"/>
                <w:iCs w:val="0"/>
                <w:color w:val="000000"/>
                <w:kern w:val="0"/>
                <w:sz w:val="18"/>
                <w:szCs w:val="18"/>
                <w:u w:val="none"/>
                <w:lang w:val="en-US" w:eastAsia="zh-CN" w:bidi="ar"/>
              </w:rPr>
              <w:t>（万元）</w:t>
            </w:r>
          </w:p>
        </w:tc>
        <w:tc>
          <w:tcPr>
            <w:tcW w:w="3085" w:type="dxa"/>
            <w:vMerge w:val="restart"/>
            <w:tcBorders>
              <w:top w:val="single" w:color="000000" w:sz="8" w:space="0"/>
              <w:left w:val="nil"/>
              <w:bottom w:val="nil"/>
              <w:right w:val="single" w:color="000000" w:sz="8" w:space="0"/>
            </w:tcBorders>
            <w:shd w:val="clear" w:color="auto" w:fill="auto"/>
            <w:vAlign w:val="center"/>
          </w:tcPr>
          <w:p w14:paraId="45B0B6B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r>
      <w:tr w14:paraId="0B602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9829563">
            <w:pPr>
              <w:jc w:val="center"/>
              <w:rPr>
                <w:rFonts w:hint="eastAsia" w:ascii="宋体" w:hAnsi="宋体" w:eastAsia="宋体" w:cs="宋体"/>
                <w:b/>
                <w:bCs/>
                <w:i w:val="0"/>
                <w:iCs w:val="0"/>
                <w:color w:val="000000"/>
                <w:sz w:val="18"/>
                <w:szCs w:val="18"/>
                <w:u w:val="none"/>
              </w:rPr>
            </w:pPr>
          </w:p>
        </w:tc>
        <w:tc>
          <w:tcPr>
            <w:tcW w:w="2904" w:type="dxa"/>
            <w:vMerge w:val="continue"/>
            <w:tcBorders>
              <w:top w:val="single" w:color="000000" w:sz="8" w:space="0"/>
              <w:left w:val="nil"/>
              <w:bottom w:val="single" w:color="000000" w:sz="8" w:space="0"/>
              <w:right w:val="single" w:color="000000" w:sz="8" w:space="0"/>
            </w:tcBorders>
            <w:shd w:val="clear" w:color="auto" w:fill="auto"/>
            <w:vAlign w:val="center"/>
          </w:tcPr>
          <w:p w14:paraId="17E4AACE">
            <w:pPr>
              <w:jc w:val="center"/>
              <w:rPr>
                <w:rFonts w:hint="eastAsia" w:ascii="宋体" w:hAnsi="宋体" w:eastAsia="宋体" w:cs="宋体"/>
                <w:b/>
                <w:bCs/>
                <w:i w:val="0"/>
                <w:iCs w:val="0"/>
                <w:color w:val="000000"/>
                <w:sz w:val="18"/>
                <w:szCs w:val="18"/>
                <w:u w:val="none"/>
              </w:rPr>
            </w:pPr>
          </w:p>
        </w:tc>
        <w:tc>
          <w:tcPr>
            <w:tcW w:w="1541" w:type="dxa"/>
            <w:vMerge w:val="continue"/>
            <w:tcBorders>
              <w:top w:val="single" w:color="000000" w:sz="8" w:space="0"/>
              <w:left w:val="nil"/>
              <w:bottom w:val="single" w:color="000000" w:sz="8" w:space="0"/>
              <w:right w:val="single" w:color="000000" w:sz="8" w:space="0"/>
            </w:tcBorders>
            <w:shd w:val="clear" w:color="auto" w:fill="auto"/>
            <w:vAlign w:val="center"/>
          </w:tcPr>
          <w:p w14:paraId="6E0DA6BA">
            <w:pPr>
              <w:jc w:val="center"/>
              <w:rPr>
                <w:rFonts w:hint="eastAsia" w:ascii="宋体" w:hAnsi="宋体" w:eastAsia="宋体" w:cs="宋体"/>
                <w:b/>
                <w:bCs/>
                <w:i w:val="0"/>
                <w:iCs w:val="0"/>
                <w:color w:val="000000"/>
                <w:sz w:val="18"/>
                <w:szCs w:val="18"/>
                <w:u w:val="none"/>
              </w:rPr>
            </w:pPr>
          </w:p>
        </w:tc>
        <w:tc>
          <w:tcPr>
            <w:tcW w:w="3085" w:type="dxa"/>
            <w:vMerge w:val="continue"/>
            <w:tcBorders>
              <w:top w:val="single" w:color="000000" w:sz="8" w:space="0"/>
              <w:left w:val="nil"/>
              <w:bottom w:val="nil"/>
              <w:right w:val="single" w:color="000000" w:sz="8" w:space="0"/>
            </w:tcBorders>
            <w:shd w:val="clear" w:color="auto" w:fill="auto"/>
            <w:vAlign w:val="center"/>
          </w:tcPr>
          <w:p w14:paraId="6A7BB7F8">
            <w:pPr>
              <w:jc w:val="center"/>
              <w:rPr>
                <w:rFonts w:hint="eastAsia" w:ascii="宋体" w:hAnsi="宋体" w:eastAsia="宋体" w:cs="宋体"/>
                <w:b/>
                <w:bCs/>
                <w:i w:val="0"/>
                <w:iCs w:val="0"/>
                <w:color w:val="000000"/>
                <w:sz w:val="18"/>
                <w:szCs w:val="18"/>
                <w:u w:val="none"/>
              </w:rPr>
            </w:pPr>
          </w:p>
        </w:tc>
      </w:tr>
      <w:tr w14:paraId="5D423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14:paraId="5088C0E2">
            <w:pPr>
              <w:keepNext w:val="0"/>
              <w:keepLines w:val="0"/>
              <w:widowControl/>
              <w:suppressLineNumbers w:val="0"/>
              <w:jc w:val="center"/>
              <w:textAlignment w:val="center"/>
              <w:rPr>
                <w:rFonts w:hint="default" w:ascii="微软雅黑" w:hAnsi="微软雅黑" w:eastAsia="微软雅黑" w:cs="微软雅黑"/>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14:ligatures w14:val="standardContextual"/>
              </w:rPr>
              <w:t>I</w:t>
            </w:r>
          </w:p>
        </w:tc>
        <w:tc>
          <w:tcPr>
            <w:tcW w:w="2904" w:type="dxa"/>
            <w:tcBorders>
              <w:top w:val="nil"/>
              <w:left w:val="nil"/>
              <w:bottom w:val="single" w:color="000000" w:sz="8" w:space="0"/>
              <w:right w:val="single" w:color="000000" w:sz="8" w:space="0"/>
            </w:tcBorders>
            <w:shd w:val="clear" w:color="auto" w:fill="auto"/>
            <w:vAlign w:val="center"/>
          </w:tcPr>
          <w:p w14:paraId="7BC3A2EC">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工程费用</w:t>
            </w:r>
          </w:p>
        </w:tc>
        <w:tc>
          <w:tcPr>
            <w:tcW w:w="1541" w:type="dxa"/>
            <w:tcBorders>
              <w:top w:val="nil"/>
              <w:left w:val="nil"/>
              <w:bottom w:val="single" w:color="000000" w:sz="8" w:space="0"/>
              <w:right w:val="single" w:color="000000" w:sz="8" w:space="0"/>
            </w:tcBorders>
            <w:shd w:val="clear" w:color="auto" w:fill="auto"/>
            <w:vAlign w:val="center"/>
          </w:tcPr>
          <w:p w14:paraId="23F65EF9">
            <w:pPr>
              <w:keepNext w:val="0"/>
              <w:keepLines w:val="0"/>
              <w:widowControl/>
              <w:suppressLineNumbers w:val="0"/>
              <w:jc w:val="center"/>
              <w:textAlignment w:val="center"/>
              <w:rPr>
                <w:rFonts w:hint="default" w:ascii="宋体" w:hAnsi="宋体" w:eastAsia="宋体" w:cs="宋体"/>
                <w:b/>
                <w:bCs/>
                <w:i w:val="0"/>
                <w:iCs w:val="0"/>
                <w:color w:val="000000"/>
                <w:kern w:val="2"/>
                <w:sz w:val="20"/>
                <w:szCs w:val="20"/>
                <w:u w:val="none"/>
                <w:lang w:val="en-US" w:eastAsia="zh-CN" w:bidi="ar-SA"/>
              </w:rPr>
            </w:pPr>
            <w:r>
              <w:rPr>
                <w:rFonts w:hint="eastAsia" w:ascii="宋体" w:hAnsi="宋体" w:cs="宋体"/>
                <w:b/>
                <w:bCs/>
                <w:i w:val="0"/>
                <w:iCs w:val="0"/>
                <w:color w:val="000000"/>
                <w:kern w:val="0"/>
                <w:sz w:val="20"/>
                <w:szCs w:val="20"/>
                <w:u w:val="none"/>
                <w:lang w:val="en-US" w:eastAsia="zh-CN" w:bidi="ar"/>
              </w:rPr>
              <w:t>78.91</w:t>
            </w:r>
          </w:p>
        </w:tc>
        <w:tc>
          <w:tcPr>
            <w:tcW w:w="3085" w:type="dxa"/>
            <w:tcBorders>
              <w:top w:val="single" w:color="000000" w:sz="8" w:space="0"/>
              <w:left w:val="nil"/>
              <w:bottom w:val="single" w:color="000000" w:sz="8" w:space="0"/>
              <w:right w:val="single" w:color="000000" w:sz="8" w:space="0"/>
            </w:tcBorders>
            <w:shd w:val="clear" w:color="auto" w:fill="auto"/>
            <w:vAlign w:val="center"/>
          </w:tcPr>
          <w:p w14:paraId="3B294B70">
            <w:pPr>
              <w:jc w:val="center"/>
              <w:rPr>
                <w:rFonts w:hint="eastAsia" w:ascii="宋体" w:hAnsi="宋体" w:eastAsia="宋体" w:cs="宋体"/>
                <w:b/>
                <w:bCs/>
                <w:i w:val="0"/>
                <w:iCs w:val="0"/>
                <w:color w:val="000000"/>
                <w:sz w:val="24"/>
                <w:szCs w:val="24"/>
                <w:u w:val="none"/>
                <w:lang w:eastAsia="zh-CN"/>
              </w:rPr>
            </w:pPr>
          </w:p>
        </w:tc>
      </w:tr>
      <w:tr w14:paraId="08E6C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14:paraId="0BCB528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2904" w:type="dxa"/>
            <w:tcBorders>
              <w:top w:val="nil"/>
              <w:left w:val="nil"/>
              <w:bottom w:val="single" w:color="000000" w:sz="8" w:space="0"/>
              <w:right w:val="single" w:color="000000" w:sz="8" w:space="0"/>
            </w:tcBorders>
            <w:shd w:val="clear" w:color="auto" w:fill="auto"/>
            <w:vAlign w:val="center"/>
          </w:tcPr>
          <w:p w14:paraId="25B25E3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拆除工程</w:t>
            </w:r>
          </w:p>
        </w:tc>
        <w:tc>
          <w:tcPr>
            <w:tcW w:w="1541" w:type="dxa"/>
            <w:tcBorders>
              <w:top w:val="nil"/>
              <w:left w:val="nil"/>
              <w:bottom w:val="single" w:color="000000" w:sz="8" w:space="0"/>
              <w:right w:val="single" w:color="000000" w:sz="8" w:space="0"/>
            </w:tcBorders>
            <w:shd w:val="clear" w:color="auto" w:fill="auto"/>
            <w:vAlign w:val="center"/>
          </w:tcPr>
          <w:p w14:paraId="294262B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2.72</w:t>
            </w:r>
          </w:p>
        </w:tc>
        <w:tc>
          <w:tcPr>
            <w:tcW w:w="3085" w:type="dxa"/>
            <w:tcBorders>
              <w:top w:val="nil"/>
              <w:left w:val="nil"/>
              <w:bottom w:val="single" w:color="000000" w:sz="8" w:space="0"/>
              <w:right w:val="single" w:color="000000" w:sz="8" w:space="0"/>
            </w:tcBorders>
            <w:shd w:val="clear" w:color="auto" w:fill="auto"/>
            <w:vAlign w:val="center"/>
          </w:tcPr>
          <w:p w14:paraId="3B89F3F8">
            <w:pPr>
              <w:jc w:val="center"/>
              <w:rPr>
                <w:rFonts w:hint="eastAsia" w:ascii="宋体" w:hAnsi="宋体" w:eastAsia="宋体" w:cs="宋体"/>
                <w:b w:val="0"/>
                <w:bCs w:val="0"/>
                <w:i w:val="0"/>
                <w:iCs w:val="0"/>
                <w:color w:val="000000"/>
                <w:sz w:val="18"/>
                <w:szCs w:val="18"/>
                <w:u w:val="none"/>
              </w:rPr>
            </w:pPr>
          </w:p>
        </w:tc>
      </w:tr>
      <w:tr w14:paraId="5EE12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14:paraId="09CB71B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2904" w:type="dxa"/>
            <w:tcBorders>
              <w:top w:val="nil"/>
              <w:left w:val="nil"/>
              <w:bottom w:val="single" w:color="000000" w:sz="8" w:space="0"/>
              <w:right w:val="single" w:color="000000" w:sz="8" w:space="0"/>
            </w:tcBorders>
            <w:shd w:val="clear" w:color="auto" w:fill="auto"/>
            <w:vAlign w:val="center"/>
          </w:tcPr>
          <w:p w14:paraId="7D4AD5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室内装饰</w:t>
            </w:r>
            <w:r>
              <w:rPr>
                <w:rFonts w:hint="eastAsia" w:ascii="宋体" w:hAnsi="宋体" w:eastAsia="宋体" w:cs="宋体"/>
                <w:i w:val="0"/>
                <w:iCs w:val="0"/>
                <w:color w:val="000000"/>
                <w:kern w:val="0"/>
                <w:sz w:val="20"/>
                <w:szCs w:val="20"/>
                <w:u w:val="none"/>
                <w:lang w:val="en-US" w:eastAsia="zh-CN" w:bidi="ar"/>
              </w:rPr>
              <w:t>工程</w:t>
            </w:r>
          </w:p>
        </w:tc>
        <w:tc>
          <w:tcPr>
            <w:tcW w:w="1541" w:type="dxa"/>
            <w:tcBorders>
              <w:top w:val="nil"/>
              <w:left w:val="nil"/>
              <w:bottom w:val="single" w:color="000000" w:sz="8" w:space="0"/>
              <w:right w:val="single" w:color="000000" w:sz="8" w:space="0"/>
            </w:tcBorders>
            <w:shd w:val="clear" w:color="auto" w:fill="auto"/>
            <w:vAlign w:val="center"/>
          </w:tcPr>
          <w:p w14:paraId="5FB62AA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28.75</w:t>
            </w:r>
            <w:r>
              <w:rPr>
                <w:rFonts w:hint="eastAsia" w:ascii="宋体" w:hAnsi="宋体" w:eastAsia="宋体" w:cs="宋体"/>
                <w:i w:val="0"/>
                <w:iCs w:val="0"/>
                <w:color w:val="000000"/>
                <w:kern w:val="0"/>
                <w:sz w:val="20"/>
                <w:szCs w:val="20"/>
                <w:u w:val="none"/>
                <w:lang w:val="en-US" w:eastAsia="zh-CN" w:bidi="ar"/>
              </w:rPr>
              <w:t xml:space="preserve"> </w:t>
            </w:r>
          </w:p>
        </w:tc>
        <w:tc>
          <w:tcPr>
            <w:tcW w:w="3085" w:type="dxa"/>
            <w:tcBorders>
              <w:top w:val="nil"/>
              <w:left w:val="nil"/>
              <w:bottom w:val="single" w:color="000000" w:sz="8" w:space="0"/>
              <w:right w:val="single" w:color="000000" w:sz="8" w:space="0"/>
            </w:tcBorders>
            <w:shd w:val="clear" w:color="auto" w:fill="auto"/>
            <w:vAlign w:val="center"/>
          </w:tcPr>
          <w:p w14:paraId="67CB706A">
            <w:pPr>
              <w:jc w:val="center"/>
              <w:rPr>
                <w:rFonts w:hint="eastAsia" w:ascii="宋体" w:hAnsi="宋体" w:eastAsia="宋体" w:cs="宋体"/>
                <w:b w:val="0"/>
                <w:bCs w:val="0"/>
                <w:i w:val="0"/>
                <w:iCs w:val="0"/>
                <w:color w:val="000000"/>
                <w:sz w:val="18"/>
                <w:szCs w:val="18"/>
                <w:u w:val="none"/>
              </w:rPr>
            </w:pPr>
          </w:p>
        </w:tc>
      </w:tr>
      <w:tr w14:paraId="7DF09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14:paraId="7F8258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2904" w:type="dxa"/>
            <w:tcBorders>
              <w:top w:val="nil"/>
              <w:left w:val="nil"/>
              <w:bottom w:val="single" w:color="000000" w:sz="8" w:space="0"/>
              <w:right w:val="single" w:color="000000" w:sz="8" w:space="0"/>
            </w:tcBorders>
            <w:shd w:val="clear" w:color="auto" w:fill="auto"/>
            <w:vAlign w:val="center"/>
          </w:tcPr>
          <w:p w14:paraId="65621F2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消防工程</w:t>
            </w:r>
          </w:p>
        </w:tc>
        <w:tc>
          <w:tcPr>
            <w:tcW w:w="1541" w:type="dxa"/>
            <w:tcBorders>
              <w:top w:val="nil"/>
              <w:left w:val="nil"/>
              <w:bottom w:val="single" w:color="000000" w:sz="8" w:space="0"/>
              <w:right w:val="single" w:color="000000" w:sz="8" w:space="0"/>
            </w:tcBorders>
            <w:shd w:val="clear" w:color="auto" w:fill="auto"/>
            <w:vAlign w:val="center"/>
          </w:tcPr>
          <w:p w14:paraId="153A041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4.55</w:t>
            </w:r>
          </w:p>
        </w:tc>
        <w:tc>
          <w:tcPr>
            <w:tcW w:w="3085" w:type="dxa"/>
            <w:tcBorders>
              <w:top w:val="nil"/>
              <w:left w:val="nil"/>
              <w:bottom w:val="single" w:color="000000" w:sz="8" w:space="0"/>
              <w:right w:val="single" w:color="000000" w:sz="8" w:space="0"/>
            </w:tcBorders>
            <w:shd w:val="clear" w:color="auto" w:fill="auto"/>
            <w:vAlign w:val="center"/>
          </w:tcPr>
          <w:p w14:paraId="566A0798">
            <w:pPr>
              <w:jc w:val="center"/>
              <w:rPr>
                <w:rFonts w:hint="eastAsia" w:ascii="宋体" w:hAnsi="宋体" w:eastAsia="宋体" w:cs="宋体"/>
                <w:b w:val="0"/>
                <w:bCs w:val="0"/>
                <w:i w:val="0"/>
                <w:iCs w:val="0"/>
                <w:color w:val="000000"/>
                <w:sz w:val="18"/>
                <w:szCs w:val="18"/>
                <w:u w:val="none"/>
              </w:rPr>
            </w:pPr>
          </w:p>
        </w:tc>
      </w:tr>
      <w:tr w14:paraId="7C790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14:paraId="68B56B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2904" w:type="dxa"/>
            <w:tcBorders>
              <w:top w:val="nil"/>
              <w:left w:val="nil"/>
              <w:bottom w:val="single" w:color="000000" w:sz="8" w:space="0"/>
              <w:right w:val="single" w:color="000000" w:sz="8" w:space="0"/>
            </w:tcBorders>
            <w:shd w:val="clear" w:color="auto" w:fill="auto"/>
            <w:vAlign w:val="center"/>
          </w:tcPr>
          <w:p w14:paraId="3C83B09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水电暖通工程</w:t>
            </w:r>
          </w:p>
        </w:tc>
        <w:tc>
          <w:tcPr>
            <w:tcW w:w="1541" w:type="dxa"/>
            <w:tcBorders>
              <w:top w:val="nil"/>
              <w:left w:val="nil"/>
              <w:bottom w:val="single" w:color="000000" w:sz="8" w:space="0"/>
              <w:right w:val="single" w:color="000000" w:sz="8" w:space="0"/>
            </w:tcBorders>
            <w:shd w:val="clear" w:color="auto" w:fill="auto"/>
            <w:vAlign w:val="center"/>
          </w:tcPr>
          <w:p w14:paraId="537D31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5.90</w:t>
            </w:r>
            <w:r>
              <w:rPr>
                <w:rFonts w:hint="eastAsia" w:ascii="宋体" w:hAnsi="宋体" w:eastAsia="宋体" w:cs="宋体"/>
                <w:i w:val="0"/>
                <w:iCs w:val="0"/>
                <w:color w:val="000000"/>
                <w:kern w:val="0"/>
                <w:sz w:val="20"/>
                <w:szCs w:val="20"/>
                <w:u w:val="none"/>
                <w:lang w:val="en-US" w:eastAsia="zh-CN" w:bidi="ar"/>
              </w:rPr>
              <w:t xml:space="preserve"> </w:t>
            </w:r>
          </w:p>
        </w:tc>
        <w:tc>
          <w:tcPr>
            <w:tcW w:w="3085" w:type="dxa"/>
            <w:tcBorders>
              <w:top w:val="nil"/>
              <w:left w:val="nil"/>
              <w:bottom w:val="single" w:color="000000" w:sz="8" w:space="0"/>
              <w:right w:val="single" w:color="000000" w:sz="8" w:space="0"/>
            </w:tcBorders>
            <w:shd w:val="clear" w:color="auto" w:fill="auto"/>
            <w:vAlign w:val="center"/>
          </w:tcPr>
          <w:p w14:paraId="77FDE2EC">
            <w:pPr>
              <w:jc w:val="center"/>
              <w:rPr>
                <w:rFonts w:hint="eastAsia" w:ascii="宋体" w:hAnsi="宋体" w:eastAsia="宋体" w:cs="宋体"/>
                <w:b w:val="0"/>
                <w:bCs w:val="0"/>
                <w:i w:val="0"/>
                <w:iCs w:val="0"/>
                <w:color w:val="000000"/>
                <w:sz w:val="18"/>
                <w:szCs w:val="18"/>
                <w:u w:val="none"/>
              </w:rPr>
            </w:pPr>
          </w:p>
        </w:tc>
      </w:tr>
      <w:tr w14:paraId="578E3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14:paraId="11952E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w:t>
            </w:r>
          </w:p>
        </w:tc>
        <w:tc>
          <w:tcPr>
            <w:tcW w:w="2904" w:type="dxa"/>
            <w:tcBorders>
              <w:top w:val="nil"/>
              <w:left w:val="nil"/>
              <w:bottom w:val="single" w:color="000000" w:sz="8" w:space="0"/>
              <w:right w:val="single" w:color="000000" w:sz="8" w:space="0"/>
            </w:tcBorders>
            <w:shd w:val="clear" w:color="auto" w:fill="auto"/>
            <w:vAlign w:val="center"/>
          </w:tcPr>
          <w:p w14:paraId="3A23489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设备采购</w:t>
            </w:r>
          </w:p>
        </w:tc>
        <w:tc>
          <w:tcPr>
            <w:tcW w:w="1541" w:type="dxa"/>
            <w:tcBorders>
              <w:top w:val="nil"/>
              <w:left w:val="nil"/>
              <w:bottom w:val="single" w:color="000000" w:sz="8" w:space="0"/>
              <w:right w:val="single" w:color="000000" w:sz="8" w:space="0"/>
            </w:tcBorders>
            <w:shd w:val="clear" w:color="auto" w:fill="auto"/>
            <w:vAlign w:val="center"/>
          </w:tcPr>
          <w:p w14:paraId="6352FDA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36.99</w:t>
            </w:r>
          </w:p>
        </w:tc>
        <w:tc>
          <w:tcPr>
            <w:tcW w:w="3085" w:type="dxa"/>
            <w:tcBorders>
              <w:top w:val="nil"/>
              <w:left w:val="nil"/>
              <w:bottom w:val="single" w:color="000000" w:sz="8" w:space="0"/>
              <w:right w:val="single" w:color="000000" w:sz="8" w:space="0"/>
            </w:tcBorders>
            <w:shd w:val="clear" w:color="auto" w:fill="auto"/>
            <w:vAlign w:val="center"/>
          </w:tcPr>
          <w:p w14:paraId="26170837">
            <w:pPr>
              <w:jc w:val="center"/>
              <w:rPr>
                <w:rFonts w:hint="eastAsia" w:ascii="宋体" w:hAnsi="宋体" w:eastAsia="宋体" w:cs="宋体"/>
                <w:b w:val="0"/>
                <w:bCs w:val="0"/>
                <w:i w:val="0"/>
                <w:iCs w:val="0"/>
                <w:color w:val="000000"/>
                <w:sz w:val="18"/>
                <w:szCs w:val="18"/>
                <w:u w:val="none"/>
              </w:rPr>
            </w:pPr>
          </w:p>
        </w:tc>
      </w:tr>
      <w:tr w14:paraId="7D370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1080" w:type="dxa"/>
            <w:tcBorders>
              <w:top w:val="single" w:color="auto" w:sz="4" w:space="0"/>
              <w:left w:val="single" w:color="000000" w:sz="8" w:space="0"/>
              <w:bottom w:val="single" w:color="auto" w:sz="4" w:space="0"/>
              <w:right w:val="single" w:color="000000" w:sz="8" w:space="0"/>
            </w:tcBorders>
            <w:shd w:val="clear" w:color="FFFFFF" w:fill="FFFFFF"/>
            <w:vAlign w:val="center"/>
          </w:tcPr>
          <w:p w14:paraId="0EB8BD9E">
            <w:pPr>
              <w:keepNext w:val="0"/>
              <w:keepLines w:val="0"/>
              <w:widowControl/>
              <w:suppressLineNumbers w:val="0"/>
              <w:jc w:val="center"/>
              <w:textAlignment w:val="center"/>
              <w:rPr>
                <w:rFonts w:hint="default"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Ⅱ</w:t>
            </w:r>
          </w:p>
        </w:tc>
        <w:tc>
          <w:tcPr>
            <w:tcW w:w="2904" w:type="dxa"/>
            <w:tcBorders>
              <w:top w:val="single" w:color="auto" w:sz="4" w:space="0"/>
              <w:left w:val="nil"/>
              <w:bottom w:val="single" w:color="auto" w:sz="4" w:space="0"/>
              <w:right w:val="single" w:color="000000" w:sz="8" w:space="0"/>
            </w:tcBorders>
            <w:shd w:val="clear" w:color="FFFFFF" w:fill="FFFFFF"/>
            <w:vAlign w:val="center"/>
          </w:tcPr>
          <w:p w14:paraId="7AF9A0F1">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工程建设其他费用</w:t>
            </w:r>
          </w:p>
        </w:tc>
        <w:tc>
          <w:tcPr>
            <w:tcW w:w="1541" w:type="dxa"/>
            <w:tcBorders>
              <w:top w:val="single" w:color="auto" w:sz="4" w:space="0"/>
              <w:left w:val="nil"/>
              <w:bottom w:val="single" w:color="auto" w:sz="4" w:space="0"/>
              <w:right w:val="single" w:color="000000" w:sz="8" w:space="0"/>
            </w:tcBorders>
            <w:shd w:val="clear" w:color="auto" w:fill="auto"/>
            <w:vAlign w:val="center"/>
          </w:tcPr>
          <w:p w14:paraId="2971264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b/>
                <w:bCs/>
                <w:i w:val="0"/>
                <w:iCs w:val="0"/>
                <w:color w:val="000000"/>
                <w:kern w:val="0"/>
                <w:sz w:val="20"/>
                <w:szCs w:val="20"/>
                <w:u w:val="none"/>
                <w:lang w:val="en-US" w:eastAsia="zh-CN" w:bidi="ar"/>
              </w:rPr>
              <w:t>11.37</w:t>
            </w:r>
          </w:p>
        </w:tc>
        <w:tc>
          <w:tcPr>
            <w:tcW w:w="3085" w:type="dxa"/>
            <w:tcBorders>
              <w:top w:val="single" w:color="auto" w:sz="4" w:space="0"/>
              <w:left w:val="nil"/>
              <w:bottom w:val="single" w:color="auto" w:sz="4" w:space="0"/>
              <w:right w:val="single" w:color="000000" w:sz="8" w:space="0"/>
            </w:tcBorders>
            <w:shd w:val="clear" w:color="auto" w:fill="auto"/>
            <w:vAlign w:val="center"/>
          </w:tcPr>
          <w:p w14:paraId="081F3E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FB71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jc w:val="center"/>
        </w:trPr>
        <w:tc>
          <w:tcPr>
            <w:tcW w:w="1080" w:type="dxa"/>
            <w:tcBorders>
              <w:top w:val="single" w:color="auto" w:sz="4" w:space="0"/>
              <w:left w:val="single" w:color="000000" w:sz="8" w:space="0"/>
              <w:bottom w:val="single" w:color="auto" w:sz="4" w:space="0"/>
              <w:right w:val="single" w:color="000000" w:sz="8" w:space="0"/>
            </w:tcBorders>
            <w:shd w:val="clear" w:color="auto" w:fill="auto"/>
            <w:vAlign w:val="center"/>
          </w:tcPr>
          <w:p w14:paraId="22B9A708">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w:t>
            </w:r>
          </w:p>
        </w:tc>
        <w:tc>
          <w:tcPr>
            <w:tcW w:w="2904" w:type="dxa"/>
            <w:tcBorders>
              <w:top w:val="single" w:color="auto" w:sz="4" w:space="0"/>
              <w:left w:val="nil"/>
              <w:bottom w:val="single" w:color="auto" w:sz="4" w:space="0"/>
              <w:right w:val="single" w:color="000000" w:sz="8" w:space="0"/>
            </w:tcBorders>
            <w:shd w:val="clear" w:color="auto" w:fill="auto"/>
            <w:vAlign w:val="center"/>
          </w:tcPr>
          <w:p w14:paraId="07AD15C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建设单位管理费</w:t>
            </w:r>
          </w:p>
        </w:tc>
        <w:tc>
          <w:tcPr>
            <w:tcW w:w="1541" w:type="dxa"/>
            <w:tcBorders>
              <w:top w:val="single" w:color="auto" w:sz="4" w:space="0"/>
              <w:left w:val="nil"/>
              <w:bottom w:val="single" w:color="auto" w:sz="4" w:space="0"/>
              <w:right w:val="single" w:color="000000" w:sz="8" w:space="0"/>
            </w:tcBorders>
            <w:shd w:val="clear" w:color="auto" w:fill="auto"/>
            <w:vAlign w:val="center"/>
          </w:tcPr>
          <w:p w14:paraId="131AA013">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1.55</w:t>
            </w:r>
          </w:p>
        </w:tc>
        <w:tc>
          <w:tcPr>
            <w:tcW w:w="3085" w:type="dxa"/>
            <w:tcBorders>
              <w:top w:val="single" w:color="auto" w:sz="4" w:space="0"/>
              <w:left w:val="nil"/>
              <w:bottom w:val="single" w:color="auto" w:sz="4" w:space="0"/>
              <w:right w:val="single" w:color="000000" w:sz="8" w:space="0"/>
            </w:tcBorders>
            <w:shd w:val="clear" w:color="auto" w:fill="auto"/>
            <w:vAlign w:val="center"/>
          </w:tcPr>
          <w:p w14:paraId="47A8F06D">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14:ligatures w14:val="standardContextual"/>
              </w:rPr>
            </w:pPr>
            <w:r>
              <w:rPr>
                <w:rFonts w:hint="eastAsia" w:ascii="宋体" w:hAnsi="宋体" w:eastAsia="宋体" w:cs="宋体"/>
                <w:i w:val="0"/>
                <w:iCs w:val="0"/>
                <w:color w:val="000000"/>
                <w:kern w:val="0"/>
                <w:sz w:val="18"/>
                <w:szCs w:val="18"/>
                <w:u w:val="none"/>
                <w:lang w:val="en-US" w:eastAsia="zh-CN" w:bidi="ar"/>
              </w:rPr>
              <w:t>参照财建【2016】504号文计取</w:t>
            </w:r>
          </w:p>
        </w:tc>
      </w:tr>
      <w:tr w14:paraId="68C2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1080" w:type="dxa"/>
            <w:tcBorders>
              <w:top w:val="single" w:color="auto" w:sz="4" w:space="0"/>
              <w:left w:val="single" w:color="000000" w:sz="8" w:space="0"/>
              <w:bottom w:val="single" w:color="auto" w:sz="4" w:space="0"/>
              <w:right w:val="single" w:color="000000" w:sz="8" w:space="0"/>
            </w:tcBorders>
            <w:shd w:val="clear" w:color="auto" w:fill="auto"/>
            <w:vAlign w:val="center"/>
          </w:tcPr>
          <w:p w14:paraId="2FE6B2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w:t>
            </w:r>
          </w:p>
        </w:tc>
        <w:tc>
          <w:tcPr>
            <w:tcW w:w="2904" w:type="dxa"/>
            <w:tcBorders>
              <w:top w:val="single" w:color="auto" w:sz="4" w:space="0"/>
              <w:left w:val="nil"/>
              <w:bottom w:val="single" w:color="auto" w:sz="4" w:space="0"/>
              <w:right w:val="single" w:color="000000" w:sz="8" w:space="0"/>
            </w:tcBorders>
            <w:shd w:val="clear" w:color="auto" w:fill="auto"/>
            <w:vAlign w:val="center"/>
          </w:tcPr>
          <w:p w14:paraId="2D6789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建设工程监理费</w:t>
            </w:r>
          </w:p>
        </w:tc>
        <w:tc>
          <w:tcPr>
            <w:tcW w:w="1541" w:type="dxa"/>
            <w:tcBorders>
              <w:top w:val="single" w:color="auto" w:sz="4" w:space="0"/>
              <w:left w:val="nil"/>
              <w:bottom w:val="single" w:color="auto" w:sz="4" w:space="0"/>
              <w:right w:val="single" w:color="000000" w:sz="8" w:space="0"/>
            </w:tcBorders>
            <w:shd w:val="clear" w:color="auto" w:fill="auto"/>
            <w:vAlign w:val="center"/>
          </w:tcPr>
          <w:p w14:paraId="0AB3C68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1.82</w:t>
            </w:r>
          </w:p>
        </w:tc>
        <w:tc>
          <w:tcPr>
            <w:tcW w:w="3085" w:type="dxa"/>
            <w:tcBorders>
              <w:top w:val="single" w:color="auto" w:sz="4" w:space="0"/>
              <w:left w:val="nil"/>
              <w:bottom w:val="single" w:color="auto" w:sz="4" w:space="0"/>
              <w:right w:val="single" w:color="000000" w:sz="8" w:space="0"/>
            </w:tcBorders>
            <w:shd w:val="clear" w:color="auto" w:fill="auto"/>
            <w:vAlign w:val="center"/>
          </w:tcPr>
          <w:p w14:paraId="6414285D">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14:ligatures w14:val="standardContextual"/>
              </w:rPr>
              <w:t>“发改价格[2007]670号”标准70%计取</w:t>
            </w:r>
          </w:p>
        </w:tc>
      </w:tr>
      <w:tr w14:paraId="324D0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1080" w:type="dxa"/>
            <w:tcBorders>
              <w:top w:val="single" w:color="auto" w:sz="4" w:space="0"/>
              <w:left w:val="single" w:color="000000" w:sz="8" w:space="0"/>
              <w:bottom w:val="single" w:color="auto" w:sz="4" w:space="0"/>
              <w:right w:val="single" w:color="000000" w:sz="8" w:space="0"/>
            </w:tcBorders>
            <w:shd w:val="clear" w:color="auto" w:fill="auto"/>
            <w:vAlign w:val="center"/>
          </w:tcPr>
          <w:p w14:paraId="2B822A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2904" w:type="dxa"/>
            <w:tcBorders>
              <w:top w:val="single" w:color="auto" w:sz="4" w:space="0"/>
              <w:left w:val="nil"/>
              <w:bottom w:val="single" w:color="auto" w:sz="4" w:space="0"/>
              <w:right w:val="single" w:color="000000" w:sz="8" w:space="0"/>
            </w:tcBorders>
            <w:shd w:val="clear" w:color="auto" w:fill="auto"/>
            <w:vAlign w:val="center"/>
          </w:tcPr>
          <w:p w14:paraId="4FFFBE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建设项目</w:t>
            </w:r>
            <w:r>
              <w:rPr>
                <w:rFonts w:hint="eastAsia" w:ascii="宋体" w:hAnsi="宋体" w:eastAsia="宋体" w:cs="宋体"/>
                <w:i w:val="0"/>
                <w:iCs w:val="0"/>
                <w:color w:val="000000"/>
                <w:kern w:val="0"/>
                <w:sz w:val="18"/>
                <w:szCs w:val="18"/>
                <w:u w:val="none"/>
                <w:lang w:val="en-US" w:eastAsia="zh-CN" w:bidi="ar"/>
              </w:rPr>
              <w:t>前期工作咨询</w:t>
            </w:r>
            <w:r>
              <w:rPr>
                <w:rFonts w:hint="eastAsia" w:ascii="宋体" w:hAnsi="宋体" w:cs="宋体"/>
                <w:i w:val="0"/>
                <w:iCs w:val="0"/>
                <w:color w:val="000000"/>
                <w:kern w:val="0"/>
                <w:sz w:val="18"/>
                <w:szCs w:val="18"/>
                <w:u w:val="none"/>
                <w:lang w:val="en-US" w:eastAsia="zh-CN" w:bidi="ar"/>
              </w:rPr>
              <w:t>服务</w:t>
            </w:r>
            <w:r>
              <w:rPr>
                <w:rFonts w:hint="eastAsia" w:ascii="宋体" w:hAnsi="宋体" w:eastAsia="宋体" w:cs="宋体"/>
                <w:i w:val="0"/>
                <w:iCs w:val="0"/>
                <w:color w:val="000000"/>
                <w:kern w:val="0"/>
                <w:sz w:val="18"/>
                <w:szCs w:val="18"/>
                <w:u w:val="none"/>
                <w:lang w:val="en-US" w:eastAsia="zh-CN" w:bidi="ar"/>
              </w:rPr>
              <w:t>费</w:t>
            </w:r>
          </w:p>
        </w:tc>
        <w:tc>
          <w:tcPr>
            <w:tcW w:w="1541" w:type="dxa"/>
            <w:tcBorders>
              <w:top w:val="single" w:color="auto" w:sz="4" w:space="0"/>
              <w:left w:val="nil"/>
              <w:bottom w:val="single" w:color="auto" w:sz="4" w:space="0"/>
              <w:right w:val="single" w:color="000000" w:sz="8" w:space="0"/>
            </w:tcBorders>
            <w:shd w:val="clear" w:color="auto" w:fill="auto"/>
            <w:vAlign w:val="center"/>
          </w:tcPr>
          <w:p w14:paraId="4A6B477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1.50</w:t>
            </w:r>
            <w:r>
              <w:rPr>
                <w:rFonts w:hint="eastAsia" w:ascii="宋体" w:hAnsi="宋体" w:eastAsia="宋体" w:cs="宋体"/>
                <w:i w:val="0"/>
                <w:iCs w:val="0"/>
                <w:color w:val="000000"/>
                <w:kern w:val="0"/>
                <w:sz w:val="20"/>
                <w:szCs w:val="20"/>
                <w:u w:val="none"/>
                <w:lang w:val="en-US" w:eastAsia="zh-CN" w:bidi="ar"/>
              </w:rPr>
              <w:t xml:space="preserve"> </w:t>
            </w:r>
          </w:p>
        </w:tc>
        <w:tc>
          <w:tcPr>
            <w:tcW w:w="3085" w:type="dxa"/>
            <w:tcBorders>
              <w:top w:val="single" w:color="auto" w:sz="4" w:space="0"/>
              <w:left w:val="nil"/>
              <w:bottom w:val="single" w:color="auto" w:sz="4" w:space="0"/>
              <w:right w:val="single" w:color="000000" w:sz="8" w:space="0"/>
            </w:tcBorders>
            <w:shd w:val="clear" w:color="auto" w:fill="auto"/>
            <w:vAlign w:val="center"/>
          </w:tcPr>
          <w:p w14:paraId="436C04A4">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20"/>
                <w:szCs w:val="20"/>
                <w:u w:val="none"/>
                <w:lang w:val="en-US" w:eastAsia="zh-CN" w:bidi="ar"/>
                <w14:ligatures w14:val="standardContextual"/>
              </w:rPr>
              <w:t>按照合同价暂列</w:t>
            </w:r>
          </w:p>
        </w:tc>
      </w:tr>
      <w:tr w14:paraId="399A5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1080" w:type="dxa"/>
            <w:tcBorders>
              <w:top w:val="single" w:color="auto" w:sz="4" w:space="0"/>
              <w:left w:val="single" w:color="000000" w:sz="8" w:space="0"/>
              <w:bottom w:val="single" w:color="auto" w:sz="4" w:space="0"/>
              <w:right w:val="single" w:color="000000" w:sz="8" w:space="0"/>
            </w:tcBorders>
            <w:shd w:val="clear" w:color="auto" w:fill="auto"/>
            <w:vAlign w:val="center"/>
          </w:tcPr>
          <w:p w14:paraId="599A1B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4</w:t>
            </w:r>
          </w:p>
        </w:tc>
        <w:tc>
          <w:tcPr>
            <w:tcW w:w="2904" w:type="dxa"/>
            <w:tcBorders>
              <w:top w:val="single" w:color="auto" w:sz="4" w:space="0"/>
              <w:left w:val="nil"/>
              <w:bottom w:val="single" w:color="auto" w:sz="4" w:space="0"/>
              <w:right w:val="single" w:color="000000" w:sz="8" w:space="0"/>
            </w:tcBorders>
            <w:shd w:val="clear" w:color="auto" w:fill="auto"/>
            <w:vAlign w:val="center"/>
          </w:tcPr>
          <w:p w14:paraId="1AB325A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勘察设计费</w:t>
            </w:r>
          </w:p>
        </w:tc>
        <w:tc>
          <w:tcPr>
            <w:tcW w:w="1541" w:type="dxa"/>
            <w:tcBorders>
              <w:top w:val="single" w:color="auto" w:sz="4" w:space="0"/>
              <w:left w:val="nil"/>
              <w:bottom w:val="single" w:color="auto" w:sz="4" w:space="0"/>
              <w:right w:val="single" w:color="auto" w:sz="4" w:space="0"/>
            </w:tcBorders>
            <w:shd w:val="clear" w:color="auto" w:fill="auto"/>
            <w:vAlign w:val="center"/>
          </w:tcPr>
          <w:p w14:paraId="7B09ABA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3.32</w:t>
            </w:r>
            <w:r>
              <w:rPr>
                <w:rFonts w:hint="eastAsia" w:ascii="宋体" w:hAnsi="宋体" w:eastAsia="宋体" w:cs="宋体"/>
                <w:i w:val="0"/>
                <w:iCs w:val="0"/>
                <w:color w:val="000000"/>
                <w:kern w:val="0"/>
                <w:sz w:val="20"/>
                <w:szCs w:val="20"/>
                <w:u w:val="none"/>
                <w:lang w:val="en-US" w:eastAsia="zh-CN" w:bidi="ar"/>
              </w:rPr>
              <w:t xml:space="preserve"> </w:t>
            </w:r>
          </w:p>
        </w:tc>
        <w:tc>
          <w:tcPr>
            <w:tcW w:w="3085" w:type="dxa"/>
            <w:tcBorders>
              <w:top w:val="single" w:color="auto" w:sz="4" w:space="0"/>
              <w:left w:val="single" w:color="auto" w:sz="4" w:space="0"/>
              <w:bottom w:val="single" w:color="auto" w:sz="4" w:space="0"/>
              <w:right w:val="single" w:color="auto" w:sz="4" w:space="0"/>
            </w:tcBorders>
            <w:shd w:val="clear" w:color="auto" w:fill="auto"/>
            <w:vAlign w:val="center"/>
          </w:tcPr>
          <w:p w14:paraId="32C0459E">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参照“计价格[2002]10 号”标准，并按照投资 5000 万元以下为 85%计取。</w:t>
            </w:r>
          </w:p>
        </w:tc>
      </w:tr>
      <w:tr w14:paraId="618A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1080" w:type="dxa"/>
            <w:tcBorders>
              <w:top w:val="single" w:color="auto" w:sz="4" w:space="0"/>
              <w:left w:val="single" w:color="000000" w:sz="8" w:space="0"/>
              <w:bottom w:val="single" w:color="auto" w:sz="4" w:space="0"/>
              <w:right w:val="single" w:color="000000" w:sz="8" w:space="0"/>
            </w:tcBorders>
            <w:shd w:val="clear" w:color="auto" w:fill="auto"/>
            <w:vAlign w:val="center"/>
          </w:tcPr>
          <w:p w14:paraId="74BA08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5</w:t>
            </w:r>
          </w:p>
        </w:tc>
        <w:tc>
          <w:tcPr>
            <w:tcW w:w="2904" w:type="dxa"/>
            <w:tcBorders>
              <w:top w:val="single" w:color="auto" w:sz="4" w:space="0"/>
              <w:left w:val="nil"/>
              <w:bottom w:val="single" w:color="auto" w:sz="4" w:space="0"/>
              <w:right w:val="single" w:color="000000" w:sz="8" w:space="0"/>
            </w:tcBorders>
            <w:shd w:val="clear" w:color="auto" w:fill="auto"/>
            <w:vAlign w:val="center"/>
          </w:tcPr>
          <w:p w14:paraId="5AE7204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施工图审查费</w:t>
            </w:r>
          </w:p>
        </w:tc>
        <w:tc>
          <w:tcPr>
            <w:tcW w:w="1541" w:type="dxa"/>
            <w:tcBorders>
              <w:top w:val="single" w:color="auto" w:sz="4" w:space="0"/>
              <w:left w:val="nil"/>
              <w:bottom w:val="single" w:color="auto" w:sz="4" w:space="0"/>
              <w:right w:val="single" w:color="auto" w:sz="4" w:space="0"/>
            </w:tcBorders>
            <w:shd w:val="clear" w:color="auto" w:fill="auto"/>
            <w:vAlign w:val="center"/>
          </w:tcPr>
          <w:p w14:paraId="2136FAA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0.6</w:t>
            </w:r>
          </w:p>
        </w:tc>
        <w:tc>
          <w:tcPr>
            <w:tcW w:w="3085" w:type="dxa"/>
            <w:tcBorders>
              <w:top w:val="single" w:color="auto" w:sz="4" w:space="0"/>
              <w:left w:val="single" w:color="auto" w:sz="4" w:space="0"/>
              <w:bottom w:val="single" w:color="auto" w:sz="4" w:space="0"/>
              <w:right w:val="single" w:color="auto" w:sz="4" w:space="0"/>
            </w:tcBorders>
            <w:shd w:val="clear" w:color="auto" w:fill="auto"/>
            <w:vAlign w:val="center"/>
          </w:tcPr>
          <w:p w14:paraId="1F232B48">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20"/>
                <w:szCs w:val="20"/>
                <w:u w:val="none"/>
                <w:lang w:val="en-US" w:eastAsia="zh-CN" w:bidi="ar"/>
                <w14:ligatures w14:val="standardContextual"/>
              </w:rPr>
              <w:t>按照市场价暂列</w:t>
            </w:r>
          </w:p>
        </w:tc>
      </w:tr>
      <w:tr w14:paraId="54CD0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jc w:val="center"/>
        </w:trPr>
        <w:tc>
          <w:tcPr>
            <w:tcW w:w="1080" w:type="dxa"/>
            <w:tcBorders>
              <w:top w:val="single" w:color="auto" w:sz="4" w:space="0"/>
              <w:left w:val="single" w:color="000000" w:sz="8" w:space="0"/>
              <w:bottom w:val="single" w:color="auto" w:sz="4" w:space="0"/>
              <w:right w:val="single" w:color="000000" w:sz="8" w:space="0"/>
            </w:tcBorders>
            <w:shd w:val="clear" w:color="auto" w:fill="auto"/>
            <w:vAlign w:val="center"/>
          </w:tcPr>
          <w:p w14:paraId="26CC83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6</w:t>
            </w:r>
          </w:p>
        </w:tc>
        <w:tc>
          <w:tcPr>
            <w:tcW w:w="2904" w:type="dxa"/>
            <w:tcBorders>
              <w:top w:val="single" w:color="auto" w:sz="4" w:space="0"/>
              <w:left w:val="nil"/>
              <w:bottom w:val="single" w:color="auto" w:sz="4" w:space="0"/>
              <w:right w:val="single" w:color="000000" w:sz="8" w:space="0"/>
            </w:tcBorders>
            <w:shd w:val="clear" w:color="auto" w:fill="auto"/>
            <w:vAlign w:val="center"/>
          </w:tcPr>
          <w:p w14:paraId="2010DE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工程造价咨询服务费</w:t>
            </w:r>
          </w:p>
        </w:tc>
        <w:tc>
          <w:tcPr>
            <w:tcW w:w="1541" w:type="dxa"/>
            <w:tcBorders>
              <w:top w:val="single" w:color="auto" w:sz="4" w:space="0"/>
              <w:left w:val="nil"/>
              <w:bottom w:val="single" w:color="auto" w:sz="4" w:space="0"/>
              <w:right w:val="single" w:color="auto" w:sz="4" w:space="0"/>
            </w:tcBorders>
            <w:shd w:val="clear" w:color="auto" w:fill="auto"/>
            <w:vAlign w:val="center"/>
          </w:tcPr>
          <w:p w14:paraId="73C7B8C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0.61</w:t>
            </w:r>
          </w:p>
        </w:tc>
        <w:tc>
          <w:tcPr>
            <w:tcW w:w="3085" w:type="dxa"/>
            <w:tcBorders>
              <w:top w:val="single" w:color="auto" w:sz="4" w:space="0"/>
              <w:left w:val="single" w:color="auto" w:sz="4" w:space="0"/>
              <w:bottom w:val="single" w:color="auto" w:sz="4" w:space="0"/>
              <w:right w:val="single" w:color="auto" w:sz="4" w:space="0"/>
            </w:tcBorders>
            <w:shd w:val="clear" w:color="auto" w:fill="auto"/>
            <w:vAlign w:val="center"/>
          </w:tcPr>
          <w:p w14:paraId="798B7DFA">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参照“赣价协[2015]9 号”标准，并按照 70%计取。</w:t>
            </w:r>
          </w:p>
        </w:tc>
      </w:tr>
      <w:tr w14:paraId="6EFB5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1080" w:type="dxa"/>
            <w:tcBorders>
              <w:top w:val="single" w:color="auto" w:sz="4" w:space="0"/>
              <w:left w:val="single" w:color="000000" w:sz="8" w:space="0"/>
              <w:bottom w:val="single" w:color="auto" w:sz="4" w:space="0"/>
              <w:right w:val="single" w:color="000000" w:sz="8" w:space="0"/>
            </w:tcBorders>
            <w:shd w:val="clear" w:color="auto" w:fill="auto"/>
            <w:vAlign w:val="center"/>
          </w:tcPr>
          <w:p w14:paraId="5B5D63A4">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7</w:t>
            </w:r>
          </w:p>
        </w:tc>
        <w:tc>
          <w:tcPr>
            <w:tcW w:w="2904" w:type="dxa"/>
            <w:tcBorders>
              <w:top w:val="single" w:color="auto" w:sz="4" w:space="0"/>
              <w:left w:val="nil"/>
              <w:bottom w:val="single" w:color="auto" w:sz="4" w:space="0"/>
              <w:right w:val="single" w:color="000000" w:sz="8" w:space="0"/>
            </w:tcBorders>
            <w:shd w:val="clear" w:color="auto" w:fill="auto"/>
            <w:vAlign w:val="center"/>
          </w:tcPr>
          <w:p w14:paraId="5EDCCAF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工程保险费</w:t>
            </w:r>
          </w:p>
        </w:tc>
        <w:tc>
          <w:tcPr>
            <w:tcW w:w="1541" w:type="dxa"/>
            <w:tcBorders>
              <w:top w:val="single" w:color="auto" w:sz="4" w:space="0"/>
              <w:left w:val="nil"/>
              <w:bottom w:val="single" w:color="auto" w:sz="4" w:space="0"/>
              <w:right w:val="single" w:color="auto" w:sz="4" w:space="0"/>
            </w:tcBorders>
            <w:shd w:val="clear" w:color="auto" w:fill="auto"/>
            <w:vAlign w:val="center"/>
          </w:tcPr>
          <w:p w14:paraId="77ECF01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0.17</w:t>
            </w:r>
          </w:p>
        </w:tc>
        <w:tc>
          <w:tcPr>
            <w:tcW w:w="3085" w:type="dxa"/>
            <w:tcBorders>
              <w:top w:val="single" w:color="auto" w:sz="4" w:space="0"/>
              <w:left w:val="single" w:color="auto" w:sz="4" w:space="0"/>
              <w:bottom w:val="single" w:color="auto" w:sz="4" w:space="0"/>
              <w:right w:val="single" w:color="auto" w:sz="4" w:space="0"/>
            </w:tcBorders>
            <w:shd w:val="clear" w:color="auto" w:fill="auto"/>
            <w:vAlign w:val="center"/>
          </w:tcPr>
          <w:p w14:paraId="138879DB">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14:ligatures w14:val="standardContextual"/>
              </w:rPr>
            </w:pPr>
            <w:r>
              <w:rPr>
                <w:rFonts w:hint="eastAsia" w:ascii="宋体" w:hAnsi="宋体" w:eastAsia="宋体" w:cs="宋体"/>
                <w:i w:val="0"/>
                <w:iCs w:val="0"/>
                <w:color w:val="000000"/>
                <w:kern w:val="0"/>
                <w:sz w:val="18"/>
                <w:szCs w:val="18"/>
                <w:u w:val="none"/>
                <w:lang w:val="en-US" w:eastAsia="zh-CN" w:bidi="ar"/>
              </w:rPr>
              <w:t>参照洪发改审字【2024】60号标准，七折计取</w:t>
            </w:r>
          </w:p>
        </w:tc>
      </w:tr>
      <w:tr w14:paraId="6512D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jc w:val="center"/>
        </w:trPr>
        <w:tc>
          <w:tcPr>
            <w:tcW w:w="1080" w:type="dxa"/>
            <w:tcBorders>
              <w:top w:val="single" w:color="auto" w:sz="4" w:space="0"/>
              <w:left w:val="single" w:color="000000" w:sz="8" w:space="0"/>
              <w:bottom w:val="single" w:color="auto" w:sz="4" w:space="0"/>
              <w:right w:val="single" w:color="000000" w:sz="8" w:space="0"/>
            </w:tcBorders>
            <w:shd w:val="clear" w:color="auto" w:fill="auto"/>
            <w:vAlign w:val="center"/>
          </w:tcPr>
          <w:p w14:paraId="0AFC4605">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8</w:t>
            </w:r>
          </w:p>
        </w:tc>
        <w:tc>
          <w:tcPr>
            <w:tcW w:w="2904" w:type="dxa"/>
            <w:tcBorders>
              <w:top w:val="single" w:color="auto" w:sz="4" w:space="0"/>
              <w:left w:val="nil"/>
              <w:bottom w:val="single" w:color="auto" w:sz="4" w:space="0"/>
              <w:right w:val="single" w:color="000000" w:sz="8" w:space="0"/>
            </w:tcBorders>
            <w:shd w:val="clear" w:color="auto" w:fill="auto"/>
            <w:vAlign w:val="center"/>
          </w:tcPr>
          <w:p w14:paraId="72393F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检测鉴定报告费</w:t>
            </w:r>
          </w:p>
        </w:tc>
        <w:tc>
          <w:tcPr>
            <w:tcW w:w="1541" w:type="dxa"/>
            <w:tcBorders>
              <w:top w:val="single" w:color="auto" w:sz="4" w:space="0"/>
              <w:left w:val="nil"/>
              <w:bottom w:val="single" w:color="auto" w:sz="4" w:space="0"/>
              <w:right w:val="single" w:color="auto" w:sz="4" w:space="0"/>
            </w:tcBorders>
            <w:shd w:val="clear" w:color="auto" w:fill="auto"/>
            <w:vAlign w:val="center"/>
          </w:tcPr>
          <w:p w14:paraId="3BA21E5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1.80</w:t>
            </w:r>
          </w:p>
        </w:tc>
        <w:tc>
          <w:tcPr>
            <w:tcW w:w="3085" w:type="dxa"/>
            <w:tcBorders>
              <w:top w:val="single" w:color="auto" w:sz="4" w:space="0"/>
              <w:left w:val="single" w:color="auto" w:sz="4" w:space="0"/>
              <w:bottom w:val="single" w:color="auto" w:sz="4" w:space="0"/>
              <w:right w:val="single" w:color="auto" w:sz="4" w:space="0"/>
            </w:tcBorders>
            <w:shd w:val="clear" w:color="auto" w:fill="auto"/>
            <w:vAlign w:val="center"/>
          </w:tcPr>
          <w:p w14:paraId="7852E267">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0"/>
                <w:szCs w:val="20"/>
                <w:u w:val="none"/>
                <w:lang w:val="en-US" w:eastAsia="zh-CN" w:bidi="ar"/>
                <w14:ligatures w14:val="standardContextual"/>
              </w:rPr>
            </w:pPr>
            <w:r>
              <w:rPr>
                <w:rFonts w:hint="eastAsia" w:ascii="宋体" w:hAnsi="宋体" w:cs="宋体"/>
                <w:i w:val="0"/>
                <w:iCs w:val="0"/>
                <w:color w:val="000000"/>
                <w:kern w:val="0"/>
                <w:sz w:val="20"/>
                <w:szCs w:val="20"/>
                <w:u w:val="none"/>
                <w:lang w:val="en-US" w:eastAsia="zh-CN" w:bidi="ar"/>
                <w14:ligatures w14:val="standardContextual"/>
              </w:rPr>
              <w:t>暂列</w:t>
            </w:r>
          </w:p>
        </w:tc>
      </w:tr>
      <w:tr w14:paraId="6A731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1080" w:type="dxa"/>
            <w:tcBorders>
              <w:top w:val="single" w:color="auto" w:sz="4" w:space="0"/>
              <w:left w:val="single" w:color="000000" w:sz="8" w:space="0"/>
              <w:bottom w:val="single" w:color="auto" w:sz="4" w:space="0"/>
              <w:right w:val="single" w:color="000000" w:sz="8" w:space="0"/>
            </w:tcBorders>
            <w:shd w:val="clear" w:color="auto" w:fill="auto"/>
            <w:vAlign w:val="center"/>
          </w:tcPr>
          <w:p w14:paraId="58F99D63">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三</w:t>
            </w:r>
          </w:p>
        </w:tc>
        <w:tc>
          <w:tcPr>
            <w:tcW w:w="2904" w:type="dxa"/>
            <w:tcBorders>
              <w:top w:val="single" w:color="auto" w:sz="4" w:space="0"/>
              <w:left w:val="nil"/>
              <w:bottom w:val="single" w:color="auto" w:sz="4" w:space="0"/>
              <w:right w:val="single" w:color="000000" w:sz="8" w:space="0"/>
            </w:tcBorders>
            <w:shd w:val="clear" w:color="auto" w:fill="auto"/>
            <w:vAlign w:val="center"/>
          </w:tcPr>
          <w:p w14:paraId="49864D6D">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预备费</w:t>
            </w:r>
          </w:p>
        </w:tc>
        <w:tc>
          <w:tcPr>
            <w:tcW w:w="1541" w:type="dxa"/>
            <w:tcBorders>
              <w:top w:val="single" w:color="auto" w:sz="4" w:space="0"/>
              <w:left w:val="nil"/>
              <w:bottom w:val="single" w:color="auto" w:sz="4" w:space="0"/>
              <w:right w:val="single" w:color="000000" w:sz="8" w:space="0"/>
            </w:tcBorders>
            <w:shd w:val="clear" w:color="auto" w:fill="auto"/>
            <w:vAlign w:val="center"/>
          </w:tcPr>
          <w:p w14:paraId="59FFE4B8">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0"/>
                <w:szCs w:val="20"/>
                <w:u w:val="none"/>
                <w:lang w:val="en-US" w:eastAsia="zh-CN" w:bidi="ar"/>
              </w:rPr>
              <w:t>3.95</w:t>
            </w:r>
          </w:p>
        </w:tc>
        <w:tc>
          <w:tcPr>
            <w:tcW w:w="3085" w:type="dxa"/>
            <w:tcBorders>
              <w:top w:val="single" w:color="auto" w:sz="4" w:space="0"/>
              <w:left w:val="nil"/>
              <w:bottom w:val="single" w:color="auto" w:sz="4" w:space="0"/>
              <w:right w:val="single" w:color="000000" w:sz="8" w:space="0"/>
            </w:tcBorders>
            <w:shd w:val="clear" w:color="auto" w:fill="auto"/>
            <w:vAlign w:val="center"/>
          </w:tcPr>
          <w:p w14:paraId="7BF41D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工程费*5%</w:t>
            </w:r>
          </w:p>
        </w:tc>
      </w:tr>
      <w:tr w14:paraId="005B2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jc w:val="center"/>
        </w:trPr>
        <w:tc>
          <w:tcPr>
            <w:tcW w:w="1080" w:type="dxa"/>
            <w:tcBorders>
              <w:top w:val="single" w:color="auto" w:sz="4" w:space="0"/>
              <w:left w:val="single" w:color="000000" w:sz="8" w:space="0"/>
              <w:bottom w:val="single" w:color="auto" w:sz="4" w:space="0"/>
              <w:right w:val="single" w:color="000000" w:sz="8" w:space="0"/>
            </w:tcBorders>
            <w:shd w:val="clear" w:color="auto" w:fill="auto"/>
            <w:vAlign w:val="center"/>
          </w:tcPr>
          <w:p w14:paraId="6175D4C2">
            <w:pPr>
              <w:keepNext w:val="0"/>
              <w:keepLines w:val="0"/>
              <w:widowControl/>
              <w:suppressLineNumbers w:val="0"/>
              <w:jc w:val="center"/>
              <w:textAlignment w:val="center"/>
              <w:rPr>
                <w:rFonts w:hint="default"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四</w:t>
            </w:r>
          </w:p>
        </w:tc>
        <w:tc>
          <w:tcPr>
            <w:tcW w:w="2904" w:type="dxa"/>
            <w:tcBorders>
              <w:top w:val="single" w:color="auto" w:sz="4" w:space="0"/>
              <w:left w:val="nil"/>
              <w:bottom w:val="single" w:color="auto" w:sz="4" w:space="0"/>
              <w:right w:val="single" w:color="000000" w:sz="8" w:space="0"/>
            </w:tcBorders>
            <w:shd w:val="clear" w:color="auto" w:fill="auto"/>
            <w:vAlign w:val="center"/>
          </w:tcPr>
          <w:p w14:paraId="7D81BD39">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总投资</w:t>
            </w:r>
          </w:p>
        </w:tc>
        <w:tc>
          <w:tcPr>
            <w:tcW w:w="1541" w:type="dxa"/>
            <w:tcBorders>
              <w:top w:val="single" w:color="auto" w:sz="4" w:space="0"/>
              <w:left w:val="nil"/>
              <w:bottom w:val="single" w:color="auto" w:sz="4" w:space="0"/>
              <w:right w:val="single" w:color="000000" w:sz="8" w:space="0"/>
            </w:tcBorders>
            <w:shd w:val="clear" w:color="auto" w:fill="auto"/>
            <w:vAlign w:val="center"/>
          </w:tcPr>
          <w:p w14:paraId="6DB23827">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0"/>
                <w:szCs w:val="20"/>
                <w:u w:val="none"/>
                <w:lang w:val="en-US" w:eastAsia="zh-CN" w:bidi="ar"/>
              </w:rPr>
              <w:t>94.23</w:t>
            </w:r>
          </w:p>
        </w:tc>
        <w:tc>
          <w:tcPr>
            <w:tcW w:w="3085" w:type="dxa"/>
            <w:tcBorders>
              <w:top w:val="single" w:color="auto" w:sz="4" w:space="0"/>
              <w:left w:val="nil"/>
              <w:bottom w:val="single" w:color="auto" w:sz="4" w:space="0"/>
              <w:right w:val="single" w:color="000000" w:sz="8" w:space="0"/>
            </w:tcBorders>
            <w:shd w:val="clear" w:color="auto" w:fill="auto"/>
            <w:vAlign w:val="center"/>
          </w:tcPr>
          <w:p w14:paraId="21055C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bl>
    <w:p w14:paraId="59E926F2">
      <w:pPr>
        <w:pBdr>
          <w:top w:val="none" w:color="auto" w:sz="0" w:space="1"/>
          <w:left w:val="none" w:color="auto" w:sz="0" w:space="0"/>
          <w:bottom w:val="none" w:color="auto" w:sz="0" w:space="8"/>
          <w:right w:val="none" w:color="auto" w:sz="0" w:space="0"/>
          <w:between w:val="none" w:color="auto" w:sz="0" w:space="0"/>
        </w:pBdr>
        <w:spacing w:line="420" w:lineRule="exact"/>
        <w:textAlignment w:val="top"/>
        <w:rPr>
          <w:rFonts w:hint="default" w:ascii="仿宋_GB2312" w:hAnsi="Times New Roman" w:eastAsia="仿宋_GB2312" w:cs="Times New Roman"/>
          <w:b/>
          <w:bCs/>
          <w:sz w:val="32"/>
          <w:szCs w:val="32"/>
          <w:lang w:val="en-US" w:eastAsia="zh-CN"/>
        </w:rPr>
      </w:pPr>
    </w:p>
    <w:sectPr>
      <w:footerReference r:id="rId3" w:type="default"/>
      <w:pgSz w:w="11906" w:h="16838"/>
      <w:pgMar w:top="1701" w:right="1417" w:bottom="1417" w:left="1417" w:header="851" w:footer="992" w:gutter="0"/>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5D3C1">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65D148B">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DaR8W45gEA&#10;AMgDAAAOAAAAAAAAAAEAIAAAACIBAABkcnMvZTJvRG9jLnhtbFBLBQYAAAAABgAGAFkBAAB6BQAA&#10;AAA=&#10;">
              <v:fill on="f" focussize="0,0"/>
              <v:stroke on="f" weight="1.25pt"/>
              <v:imagedata o:title=""/>
              <o:lock v:ext="edit" aspectratio="f"/>
              <v:textbox inset="0mm,0mm,0mm,0mm" style="mso-fit-shape-to-text:t;">
                <w:txbxContent>
                  <w:p w14:paraId="465D148B">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E950DC">
                          <w:pPr>
                            <w:snapToGrid w:val="0"/>
                            <w:rPr>
                              <w:rFonts w:hint="eastAsia" w:eastAsia="宋体"/>
                              <w:sz w:val="18"/>
                              <w:lang w:eastAsia="zh-CN"/>
                            </w:rPr>
                          </w:pPr>
                        </w:p>
                      </w:txbxContent>
                    </wps:txbx>
                    <wps:bodyPr wrap="none" lIns="0" tIns="0" rIns="0" bIns="0" upright="0">
                      <a:spAutoFit/>
                    </wps:bodyPr>
                  </wps:wsp>
                </a:graphicData>
              </a:graphic>
            </wp:anchor>
          </w:drawing>
        </mc:Choice>
        <mc:Fallback>
          <w:pict>
            <v:shape id="文本框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oB3MscBAACY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zKr&#10;0weoMek+YFoa3vkhZ05+QGcmPaho8xfpEIyjtuertnJIRORH69V6XWFIYGy+IA57eB4ipPfSW5KN&#10;hkYcXtGUnz5CGlPnlFzN+TttDPp5bdw/DsTMHpZ7H3vMVhr2w9T43rdn5NPj3BvqcM0pMR8cyppX&#10;ZDbibOxn4xiiPnRlh3I9CLfHhE2U3nKFEXYqjAMr7Kblyhvx+F6yHn6o7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PoB3MscBAACYAwAADgAAAAAAAAABACAAAAAeAQAAZHJzL2Uyb0RvYy54&#10;bWxQSwUGAAAAAAYABgBZAQAAVwUAAAAA&#10;">
              <v:fill on="f" focussize="0,0"/>
              <v:stroke on="f"/>
              <v:imagedata o:title=""/>
              <o:lock v:ext="edit" aspectratio="f"/>
              <v:textbox inset="0mm,0mm,0mm,0mm" style="mso-fit-shape-to-text:t;">
                <w:txbxContent>
                  <w:p w14:paraId="05E950DC">
                    <w:pPr>
                      <w:snapToGrid w:val="0"/>
                      <w:rPr>
                        <w:rFonts w:hint="eastAsia" w:eastAsia="宋体"/>
                        <w:sz w:val="18"/>
                        <w:lang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4CAD04"/>
    <w:multiLevelType w:val="singleLevel"/>
    <w:tmpl w:val="C44CAD04"/>
    <w:lvl w:ilvl="0" w:tentative="0">
      <w:start w:val="8"/>
      <w:numFmt w:val="chineseCounting"/>
      <w:suff w:val="nothing"/>
      <w:lvlText w:val="%1、"/>
      <w:lvlJc w:val="left"/>
      <w:rPr>
        <w:rFonts w:hint="eastAsia"/>
      </w:rPr>
    </w:lvl>
  </w:abstractNum>
  <w:abstractNum w:abstractNumId="1">
    <w:nsid w:val="FBCEA5DF"/>
    <w:multiLevelType w:val="singleLevel"/>
    <w:tmpl w:val="FBCEA5D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xYjA5OWRlMTA4ZTAzOGY4MGI0ZTIxNzhhZWE0MzUifQ=="/>
  </w:docVars>
  <w:rsids>
    <w:rsidRoot w:val="00172A27"/>
    <w:rsid w:val="009D5888"/>
    <w:rsid w:val="02743E07"/>
    <w:rsid w:val="028C11CF"/>
    <w:rsid w:val="028F7706"/>
    <w:rsid w:val="045B1476"/>
    <w:rsid w:val="045B7DAF"/>
    <w:rsid w:val="05013D5D"/>
    <w:rsid w:val="052971A9"/>
    <w:rsid w:val="052B38C1"/>
    <w:rsid w:val="053A7653"/>
    <w:rsid w:val="05AC4062"/>
    <w:rsid w:val="05C00034"/>
    <w:rsid w:val="085B0877"/>
    <w:rsid w:val="08D35DAA"/>
    <w:rsid w:val="09532A47"/>
    <w:rsid w:val="095D5673"/>
    <w:rsid w:val="09E33DCA"/>
    <w:rsid w:val="0AA95464"/>
    <w:rsid w:val="0B3D4780"/>
    <w:rsid w:val="0B5E5DFE"/>
    <w:rsid w:val="0C023166"/>
    <w:rsid w:val="0C563668"/>
    <w:rsid w:val="0C594818"/>
    <w:rsid w:val="0DB3686E"/>
    <w:rsid w:val="0DDE3227"/>
    <w:rsid w:val="0E5D5989"/>
    <w:rsid w:val="0EF97BEC"/>
    <w:rsid w:val="0F36334E"/>
    <w:rsid w:val="0FE62D17"/>
    <w:rsid w:val="101D499E"/>
    <w:rsid w:val="10203334"/>
    <w:rsid w:val="10E32902"/>
    <w:rsid w:val="12D320CA"/>
    <w:rsid w:val="1331204B"/>
    <w:rsid w:val="1347361C"/>
    <w:rsid w:val="14A83B94"/>
    <w:rsid w:val="14F07ED8"/>
    <w:rsid w:val="15846173"/>
    <w:rsid w:val="15C03212"/>
    <w:rsid w:val="168802B9"/>
    <w:rsid w:val="16A26BF5"/>
    <w:rsid w:val="17731117"/>
    <w:rsid w:val="17741FE7"/>
    <w:rsid w:val="18F96F76"/>
    <w:rsid w:val="19091328"/>
    <w:rsid w:val="1993260C"/>
    <w:rsid w:val="19F94F44"/>
    <w:rsid w:val="1B8847D2"/>
    <w:rsid w:val="1BA55384"/>
    <w:rsid w:val="1CD27CA8"/>
    <w:rsid w:val="1E020ECD"/>
    <w:rsid w:val="1E0321A5"/>
    <w:rsid w:val="1EAF596A"/>
    <w:rsid w:val="1F53409F"/>
    <w:rsid w:val="1F61416F"/>
    <w:rsid w:val="1FDB487C"/>
    <w:rsid w:val="20DE2BC6"/>
    <w:rsid w:val="226F1F94"/>
    <w:rsid w:val="23733FB9"/>
    <w:rsid w:val="23C54591"/>
    <w:rsid w:val="240B377D"/>
    <w:rsid w:val="24170DE9"/>
    <w:rsid w:val="24775F49"/>
    <w:rsid w:val="24833D88"/>
    <w:rsid w:val="24A8344D"/>
    <w:rsid w:val="24C3687B"/>
    <w:rsid w:val="24FB28C7"/>
    <w:rsid w:val="25E4568F"/>
    <w:rsid w:val="266B541C"/>
    <w:rsid w:val="267F4CB0"/>
    <w:rsid w:val="26A1499A"/>
    <w:rsid w:val="275469F7"/>
    <w:rsid w:val="278E6E91"/>
    <w:rsid w:val="285919D0"/>
    <w:rsid w:val="29104699"/>
    <w:rsid w:val="29731916"/>
    <w:rsid w:val="297B7724"/>
    <w:rsid w:val="29EB5041"/>
    <w:rsid w:val="2A095516"/>
    <w:rsid w:val="2B5B08AF"/>
    <w:rsid w:val="2C3775CA"/>
    <w:rsid w:val="2D4C1B03"/>
    <w:rsid w:val="2D5E7113"/>
    <w:rsid w:val="2D6B7CA4"/>
    <w:rsid w:val="2DA425F5"/>
    <w:rsid w:val="2DD84D8A"/>
    <w:rsid w:val="2EBC4A66"/>
    <w:rsid w:val="2EC13E2B"/>
    <w:rsid w:val="2FDA2E81"/>
    <w:rsid w:val="30977CA1"/>
    <w:rsid w:val="30FF6D78"/>
    <w:rsid w:val="314A5B6E"/>
    <w:rsid w:val="31967CDB"/>
    <w:rsid w:val="31A530A4"/>
    <w:rsid w:val="31B9528D"/>
    <w:rsid w:val="31CA1248"/>
    <w:rsid w:val="336C0550"/>
    <w:rsid w:val="338D74B6"/>
    <w:rsid w:val="33AF0B37"/>
    <w:rsid w:val="347B4A7C"/>
    <w:rsid w:val="34E46AC5"/>
    <w:rsid w:val="35522DE9"/>
    <w:rsid w:val="36A31F5A"/>
    <w:rsid w:val="370F3C38"/>
    <w:rsid w:val="373830F8"/>
    <w:rsid w:val="378E42CE"/>
    <w:rsid w:val="386902A9"/>
    <w:rsid w:val="391A2AB5"/>
    <w:rsid w:val="398443D3"/>
    <w:rsid w:val="398B750F"/>
    <w:rsid w:val="399C167D"/>
    <w:rsid w:val="399C171C"/>
    <w:rsid w:val="3A2D368A"/>
    <w:rsid w:val="3A76603F"/>
    <w:rsid w:val="3ABB02C8"/>
    <w:rsid w:val="3C6D73A0"/>
    <w:rsid w:val="3DBA2C0F"/>
    <w:rsid w:val="3DBB238D"/>
    <w:rsid w:val="3E1A6ABF"/>
    <w:rsid w:val="3E9E5F37"/>
    <w:rsid w:val="3EBF6F31"/>
    <w:rsid w:val="3EFD6605"/>
    <w:rsid w:val="3F1E1D62"/>
    <w:rsid w:val="3F823162"/>
    <w:rsid w:val="3F852C53"/>
    <w:rsid w:val="3FE0432D"/>
    <w:rsid w:val="3FF214A4"/>
    <w:rsid w:val="40197BA2"/>
    <w:rsid w:val="40360BF4"/>
    <w:rsid w:val="40552625"/>
    <w:rsid w:val="41272213"/>
    <w:rsid w:val="41890F91"/>
    <w:rsid w:val="419B050B"/>
    <w:rsid w:val="42C45840"/>
    <w:rsid w:val="42D332C6"/>
    <w:rsid w:val="42D77799"/>
    <w:rsid w:val="433A172D"/>
    <w:rsid w:val="44020D16"/>
    <w:rsid w:val="441D5B50"/>
    <w:rsid w:val="4462631A"/>
    <w:rsid w:val="45743A99"/>
    <w:rsid w:val="45F4468E"/>
    <w:rsid w:val="464C6278"/>
    <w:rsid w:val="47637D1D"/>
    <w:rsid w:val="486821A5"/>
    <w:rsid w:val="48A00AFD"/>
    <w:rsid w:val="493E4047"/>
    <w:rsid w:val="4AAB02C8"/>
    <w:rsid w:val="4ABB39CC"/>
    <w:rsid w:val="4ADD7DE7"/>
    <w:rsid w:val="4AF938D0"/>
    <w:rsid w:val="4B667DDC"/>
    <w:rsid w:val="4B7D6ED4"/>
    <w:rsid w:val="4C567E51"/>
    <w:rsid w:val="4C7604BA"/>
    <w:rsid w:val="4CC72AFC"/>
    <w:rsid w:val="4D604EFB"/>
    <w:rsid w:val="4E8A2033"/>
    <w:rsid w:val="4EF37BD9"/>
    <w:rsid w:val="4EF70D4B"/>
    <w:rsid w:val="4F4E12B3"/>
    <w:rsid w:val="4F622668"/>
    <w:rsid w:val="4FBF3F5F"/>
    <w:rsid w:val="5079410E"/>
    <w:rsid w:val="50FD6AED"/>
    <w:rsid w:val="51714AE0"/>
    <w:rsid w:val="51D51818"/>
    <w:rsid w:val="51E732EF"/>
    <w:rsid w:val="5355550A"/>
    <w:rsid w:val="537A5713"/>
    <w:rsid w:val="53B042EA"/>
    <w:rsid w:val="53C866B4"/>
    <w:rsid w:val="54950437"/>
    <w:rsid w:val="567231CD"/>
    <w:rsid w:val="57DB28FB"/>
    <w:rsid w:val="583E7FFF"/>
    <w:rsid w:val="59541B24"/>
    <w:rsid w:val="59DB7BE7"/>
    <w:rsid w:val="5A3C774F"/>
    <w:rsid w:val="5AB571BE"/>
    <w:rsid w:val="5AD4354D"/>
    <w:rsid w:val="5AD76600"/>
    <w:rsid w:val="5B0E0407"/>
    <w:rsid w:val="5B684114"/>
    <w:rsid w:val="5CAE6190"/>
    <w:rsid w:val="5D7502A3"/>
    <w:rsid w:val="5DC268AF"/>
    <w:rsid w:val="5EB64411"/>
    <w:rsid w:val="5FF045BC"/>
    <w:rsid w:val="60350781"/>
    <w:rsid w:val="60395667"/>
    <w:rsid w:val="606F2E37"/>
    <w:rsid w:val="60BD0047"/>
    <w:rsid w:val="61056FE5"/>
    <w:rsid w:val="6132157C"/>
    <w:rsid w:val="619863BE"/>
    <w:rsid w:val="62545930"/>
    <w:rsid w:val="63417A76"/>
    <w:rsid w:val="64212AA2"/>
    <w:rsid w:val="64E117EB"/>
    <w:rsid w:val="65C92FEA"/>
    <w:rsid w:val="67175483"/>
    <w:rsid w:val="672F1572"/>
    <w:rsid w:val="67D53EC8"/>
    <w:rsid w:val="68A72685"/>
    <w:rsid w:val="69191DB8"/>
    <w:rsid w:val="69B221DF"/>
    <w:rsid w:val="6A640208"/>
    <w:rsid w:val="6A7F011B"/>
    <w:rsid w:val="6ACF10A2"/>
    <w:rsid w:val="6AF02DC7"/>
    <w:rsid w:val="6B1B4485"/>
    <w:rsid w:val="6B291C2C"/>
    <w:rsid w:val="6B3E7D36"/>
    <w:rsid w:val="6D92777C"/>
    <w:rsid w:val="6DC906C8"/>
    <w:rsid w:val="6E613DA8"/>
    <w:rsid w:val="6E9E7D5F"/>
    <w:rsid w:val="6F4638FD"/>
    <w:rsid w:val="6F7D5A93"/>
    <w:rsid w:val="6FA04A90"/>
    <w:rsid w:val="6FDB2297"/>
    <w:rsid w:val="712B5832"/>
    <w:rsid w:val="71B546BA"/>
    <w:rsid w:val="71CA25C3"/>
    <w:rsid w:val="72B17CBC"/>
    <w:rsid w:val="747266EB"/>
    <w:rsid w:val="74791114"/>
    <w:rsid w:val="74C46356"/>
    <w:rsid w:val="74F762B7"/>
    <w:rsid w:val="76814114"/>
    <w:rsid w:val="76E97048"/>
    <w:rsid w:val="76F37EC6"/>
    <w:rsid w:val="772B58B2"/>
    <w:rsid w:val="776C0368"/>
    <w:rsid w:val="78623556"/>
    <w:rsid w:val="78E50DC7"/>
    <w:rsid w:val="790862DE"/>
    <w:rsid w:val="794178CB"/>
    <w:rsid w:val="79621333"/>
    <w:rsid w:val="79794905"/>
    <w:rsid w:val="7A3B22B0"/>
    <w:rsid w:val="7A3D013C"/>
    <w:rsid w:val="7A513882"/>
    <w:rsid w:val="7AB576F7"/>
    <w:rsid w:val="7B4E5D89"/>
    <w:rsid w:val="7B5F1ACB"/>
    <w:rsid w:val="7BBB794E"/>
    <w:rsid w:val="7C473948"/>
    <w:rsid w:val="7CE443FD"/>
    <w:rsid w:val="7DCD7765"/>
    <w:rsid w:val="7F0A247C"/>
    <w:rsid w:val="7F4B45A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1"/>
    <w:rPr>
      <w:rFonts w:ascii="宋体" w:hAnsi="宋体" w:eastAsia="宋体" w:cs="宋体"/>
      <w:sz w:val="24"/>
      <w:szCs w:val="24"/>
      <w:lang w:val="zh-CN" w:eastAsia="zh-CN" w:bidi="zh-CN"/>
    </w:rPr>
  </w:style>
  <w:style w:type="paragraph" w:styleId="3">
    <w:name w:val="toc 5"/>
    <w:basedOn w:val="1"/>
    <w:next w:val="1"/>
    <w:qFormat/>
    <w:uiPriority w:val="0"/>
    <w:pPr>
      <w:ind w:left="1680" w:leftChars="800"/>
    </w:pPr>
  </w:style>
  <w:style w:type="paragraph" w:styleId="4">
    <w:name w:val="Body Text Indent 2"/>
    <w:basedOn w:val="1"/>
    <w:autoRedefine/>
    <w:qFormat/>
    <w:uiPriority w:val="0"/>
    <w:pPr>
      <w:spacing w:after="120" w:afterLines="0" w:afterAutospacing="0" w:line="480" w:lineRule="auto"/>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9">
    <w:name w:val="Default"/>
    <w:basedOn w:val="10"/>
    <w:next w:val="11"/>
    <w:autoRedefine/>
    <w:qFormat/>
    <w:uiPriority w:val="99"/>
    <w:pPr>
      <w:widowControl w:val="0"/>
      <w:autoSpaceDE w:val="0"/>
      <w:autoSpaceDN w:val="0"/>
      <w:adjustRightInd w:val="0"/>
    </w:pPr>
    <w:rPr>
      <w:rFonts w:ascii="宋体" w:hAnsi="宋体" w:eastAsia="宋体" w:cs="Times New Roman"/>
      <w:color w:val="000000"/>
      <w:kern w:val="0"/>
      <w:sz w:val="24"/>
      <w:szCs w:val="22"/>
      <w:lang w:val="en-US" w:eastAsia="zh-CN" w:bidi="ar-SA"/>
    </w:rPr>
  </w:style>
  <w:style w:type="paragraph" w:customStyle="1" w:styleId="10">
    <w:name w:val="_正文"/>
    <w:basedOn w:val="1"/>
    <w:autoRedefine/>
    <w:qFormat/>
    <w:uiPriority w:val="0"/>
    <w:pPr>
      <w:ind w:firstLine="200" w:firstLineChars="200"/>
      <w:jc w:val="left"/>
    </w:pPr>
    <w:rPr>
      <w:rFonts w:ascii="宋体"/>
      <w:szCs w:val="20"/>
    </w:rPr>
  </w:style>
  <w:style w:type="paragraph" w:customStyle="1" w:styleId="11">
    <w:name w:val="内容"/>
    <w:basedOn w:val="1"/>
    <w:next w:val="12"/>
    <w:autoRedefine/>
    <w:qFormat/>
    <w:uiPriority w:val="0"/>
    <w:pPr>
      <w:spacing w:line="500" w:lineRule="exact"/>
      <w:ind w:left="200" w:leftChars="200" w:firstLine="200" w:firstLineChars="200"/>
      <w:jc w:val="left"/>
    </w:pPr>
    <w:rPr>
      <w:rFonts w:ascii="宋体" w:hAnsi="宋体"/>
      <w:color w:val="000000"/>
      <w:sz w:val="28"/>
    </w:rPr>
  </w:style>
  <w:style w:type="paragraph" w:customStyle="1" w:styleId="12">
    <w:name w:val="目录 811"/>
    <w:next w:val="1"/>
    <w:autoRedefine/>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13">
    <w:name w:val="样式 宋体 小三 首行缩进:  1.06 厘米 行距: 1.5 倍行距"/>
    <w:autoRedefine/>
    <w:qFormat/>
    <w:uiPriority w:val="0"/>
    <w:pPr>
      <w:spacing w:line="360" w:lineRule="auto"/>
      <w:ind w:firstLine="600"/>
    </w:pPr>
    <w:rPr>
      <w:rFonts w:ascii="宋体" w:hAnsi="宋体" w:eastAsia="宋体" w:cs="宋体"/>
      <w:sz w:val="28"/>
      <w:szCs w:val="20"/>
    </w:rPr>
  </w:style>
  <w:style w:type="paragraph" w:customStyle="1" w:styleId="14">
    <w:name w:val="列出段落1"/>
    <w:basedOn w:val="1"/>
    <w:autoRedefine/>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1390</Words>
  <Characters>1552</Characters>
  <Lines>3</Lines>
  <Paragraphs>1</Paragraphs>
  <TotalTime>0</TotalTime>
  <ScaleCrop>false</ScaleCrop>
  <LinksUpToDate>false</LinksUpToDate>
  <CharactersWithSpaces>1628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2017-05-09T06:18:00Z</dcterms:created>
  <dc:creator>NTKO</dc:creator>
  <cp:lastModifiedBy>像风一样自由</cp:lastModifiedBy>
  <cp:lastPrinted>2026-01-20T01:44:00Z</cp:lastPrinted>
  <dcterms:modified xsi:type="dcterms:W3CDTF">2026-07-08T07:35:54Z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B314F01FB57D4108910DDC62B4111E81</vt:lpwstr>
  </property>
  <property fmtid="{D5CDD505-2E9C-101B-9397-08002B2CF9AE}" pid="4" name="KSOTemplateDocerSaveRecord">
    <vt:lpwstr>eyJoZGlkIjoiM2VjMjkyMWMyMGZiZjQ3NTA5YWYyMDc0ODdkZWM2MjIiLCJ1c2VySWQiOiI0NDgwNDM1MjYifQ==</vt:lpwstr>
  </property>
</Properties>
</file>