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widowControl w:val="0"/>
        <w:kinsoku/>
        <w:topLinePunct/>
        <w:autoSpaceDE/>
        <w:autoSpaceDN/>
        <w:spacing w:line="560" w:lineRule="exact"/>
        <w:jc w:val="center"/>
        <w:rPr>
          <w:rFonts w:hint="eastAsia" w:ascii="黑体" w:hAnsi="黑体" w:eastAsia="黑体"/>
          <w:color w:val="auto"/>
          <w:sz w:val="32"/>
          <w:szCs w:val="32"/>
          <w:lang w:eastAsia="zh-CN"/>
        </w:rPr>
      </w:pPr>
      <w:r>
        <w:rPr>
          <w:rFonts w:hint="eastAsia" w:ascii="方正小标宋简体" w:eastAsia="方正小标宋简体"/>
          <w:color w:val="auto"/>
          <w:sz w:val="36"/>
          <w:szCs w:val="36"/>
        </w:rPr>
        <w:t>东湖区</w:t>
      </w:r>
      <w:r>
        <w:rPr>
          <w:rFonts w:hint="eastAsia" w:ascii="方正小标宋简体" w:eastAsia="方正小标宋简体"/>
          <w:color w:val="auto"/>
          <w:sz w:val="36"/>
          <w:szCs w:val="36"/>
          <w:lang w:eastAsia="zh-CN"/>
        </w:rPr>
        <w:t>贤士湖管理处</w:t>
      </w:r>
      <w:r>
        <w:rPr>
          <w:rFonts w:hint="eastAsia" w:ascii="方正小标宋简体" w:eastAsia="方正小标宋简体"/>
          <w:color w:val="auto"/>
          <w:sz w:val="36"/>
          <w:szCs w:val="36"/>
        </w:rPr>
        <w:t>202</w:t>
      </w:r>
      <w:r>
        <w:rPr>
          <w:rFonts w:hint="eastAsia" w:ascii="方正小标宋简体" w:eastAsia="方正小标宋简体"/>
          <w:color w:val="auto"/>
          <w:sz w:val="36"/>
          <w:szCs w:val="36"/>
          <w:lang w:val="en-US" w:eastAsia="zh-CN"/>
        </w:rPr>
        <w:t>3</w:t>
      </w:r>
      <w:r>
        <w:rPr>
          <w:rFonts w:hint="eastAsia" w:ascii="方正小标宋简体" w:eastAsia="方正小标宋简体"/>
          <w:color w:val="auto"/>
          <w:sz w:val="36"/>
          <w:szCs w:val="36"/>
        </w:rPr>
        <w:t>年部门预算</w:t>
      </w:r>
    </w:p>
    <w:p>
      <w:pPr>
        <w:pStyle w:val="11"/>
        <w:widowControl w:val="0"/>
        <w:kinsoku/>
        <w:topLinePunct/>
        <w:autoSpaceDE/>
        <w:autoSpaceDN/>
        <w:spacing w:line="560" w:lineRule="exact"/>
        <w:jc w:val="both"/>
        <w:rPr>
          <w:rFonts w:hint="eastAsia" w:ascii="黑体" w:hAnsi="黑体" w:eastAsia="黑体"/>
          <w:color w:val="auto"/>
          <w:sz w:val="32"/>
          <w:szCs w:val="32"/>
          <w:lang w:eastAsia="zh-CN"/>
        </w:rPr>
      </w:pPr>
    </w:p>
    <w:p>
      <w:pPr>
        <w:pStyle w:val="11"/>
        <w:widowControl w:val="0"/>
        <w:kinsoku/>
        <w:topLinePunct/>
        <w:autoSpaceDE/>
        <w:autoSpaceDN/>
        <w:spacing w:line="560" w:lineRule="exact"/>
        <w:jc w:val="center"/>
        <w:rPr>
          <w:rFonts w:hint="eastAsia" w:ascii="黑体" w:hAnsi="黑体" w:eastAsia="黑体"/>
          <w:color w:val="auto"/>
          <w:sz w:val="32"/>
          <w:szCs w:val="32"/>
        </w:rPr>
      </w:pPr>
      <w:r>
        <w:rPr>
          <w:rFonts w:hint="eastAsia" w:ascii="黑体" w:hAnsi="黑体" w:eastAsia="黑体"/>
          <w:color w:val="auto"/>
          <w:sz w:val="32"/>
          <w:szCs w:val="32"/>
        </w:rPr>
        <w:t>目    录</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第一部分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概况</w:t>
      </w:r>
      <w:r>
        <w:rPr>
          <w:rFonts w:hint="eastAsia" w:ascii="仿宋_GB2312" w:hAnsi="黑体" w:eastAsia="仿宋_GB2312"/>
          <w:b/>
          <w:color w:val="auto"/>
          <w:sz w:val="32"/>
          <w:szCs w:val="32"/>
        </w:rPr>
        <w:tab/>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一、部门主要职责</w:t>
      </w:r>
    </w:p>
    <w:p>
      <w:pPr>
        <w:pStyle w:val="11"/>
        <w:widowControl w:val="0"/>
        <w:kinsoku/>
        <w:topLinePunct/>
        <w:autoSpaceDE/>
        <w:autoSpaceDN/>
        <w:spacing w:line="560" w:lineRule="exact"/>
        <w:ind w:firstLine="640" w:firstLineChars="2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rPr>
        <w:t>二、</w:t>
      </w:r>
      <w:r>
        <w:rPr>
          <w:rFonts w:hint="eastAsia" w:ascii="仿宋_GB2312" w:hAnsi="黑体" w:eastAsia="仿宋_GB2312"/>
          <w:color w:val="auto"/>
          <w:sz w:val="32"/>
          <w:szCs w:val="32"/>
          <w:lang w:val="en-US" w:eastAsia="zh-CN"/>
        </w:rPr>
        <w:t>部门基本情况</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二</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年部门预算情况说明</w:t>
      </w:r>
    </w:p>
    <w:p>
      <w:pPr>
        <w:pStyle w:val="11"/>
        <w:widowControl w:val="0"/>
        <w:kinsoku/>
        <w:topLinePunct/>
        <w:autoSpaceDE/>
        <w:autoSpaceDN/>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一、部门预算收支情况说明</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仿宋_GB2312" w:eastAsia="仿宋_GB2312" w:cs="仿宋_GB2312"/>
          <w:color w:val="auto"/>
          <w:sz w:val="32"/>
          <w:szCs w:val="32"/>
        </w:rPr>
        <w:t>二、“三公”经费预算情况说明</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三</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年部门预算表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一、《收支预算总表》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二、《部门收入总表》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三、《部门支出总表》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四、《财政拨款收支总表》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五、《一般公共预算支出表》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六、《一般公共预算基本支出表》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七、《一般公共预算“三公”经费支出表》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八、《政府性基金预算支出表》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九、《国有资本经营预算支出表》</w:t>
      </w:r>
      <w:r>
        <w:rPr>
          <w:rFonts w:hint="eastAsia" w:ascii="仿宋_GB2312" w:hAnsi="黑体" w:eastAsia="仿宋_GB2312"/>
          <w:color w:val="auto"/>
          <w:sz w:val="32"/>
          <w:szCs w:val="32"/>
        </w:rPr>
        <w:tab/>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十、《项目</w:t>
      </w:r>
      <w:r>
        <w:rPr>
          <w:rFonts w:hint="eastAsia" w:ascii="仿宋_GB2312" w:hAnsi="黑体" w:eastAsia="仿宋_GB2312"/>
          <w:color w:val="auto"/>
          <w:sz w:val="32"/>
          <w:szCs w:val="32"/>
          <w:lang w:val="en-US" w:eastAsia="zh-CN"/>
        </w:rPr>
        <w:t>支出</w:t>
      </w:r>
      <w:r>
        <w:rPr>
          <w:rFonts w:hint="eastAsia" w:ascii="仿宋_GB2312" w:hAnsi="黑体" w:eastAsia="仿宋_GB2312"/>
          <w:color w:val="auto"/>
          <w:sz w:val="32"/>
          <w:szCs w:val="32"/>
        </w:rPr>
        <w:t>绩效目标表》</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十</w:t>
      </w:r>
      <w:r>
        <w:rPr>
          <w:rFonts w:hint="eastAsia" w:ascii="仿宋_GB2312" w:hAnsi="黑体" w:eastAsia="仿宋_GB2312"/>
          <w:color w:val="auto"/>
          <w:sz w:val="32"/>
          <w:szCs w:val="32"/>
          <w:lang w:val="en-US" w:eastAsia="zh-CN"/>
        </w:rPr>
        <w:t>一</w:t>
      </w:r>
      <w:r>
        <w:rPr>
          <w:rFonts w:hint="eastAsia" w:ascii="仿宋_GB2312" w:hAnsi="黑体" w:eastAsia="仿宋_GB2312"/>
          <w:color w:val="auto"/>
          <w:sz w:val="32"/>
          <w:szCs w:val="32"/>
        </w:rPr>
        <w:t>、《部门整体支出绩效目标表》</w:t>
      </w:r>
    </w:p>
    <w:p>
      <w:pPr>
        <w:pStyle w:val="11"/>
        <w:widowControl w:val="0"/>
        <w:numPr>
          <w:ilvl w:val="0"/>
          <w:numId w:val="1"/>
        </w:numPr>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 xml:space="preserve"> 名词解释</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p>
    <w:p>
      <w:pPr>
        <w:pStyle w:val="11"/>
        <w:widowControl w:val="0"/>
        <w:kinsoku/>
        <w:topLinePunct/>
        <w:autoSpaceDE/>
        <w:autoSpaceDN/>
        <w:spacing w:line="560" w:lineRule="exact"/>
        <w:jc w:val="both"/>
        <w:rPr>
          <w:rFonts w:hint="eastAsia" w:ascii="仿宋_GB2312" w:hAnsi="黑体" w:eastAsia="仿宋_GB2312"/>
          <w:b/>
          <w:color w:val="auto"/>
          <w:sz w:val="32"/>
          <w:szCs w:val="32"/>
        </w:rPr>
      </w:pP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b/>
          <w:color w:val="auto"/>
          <w:sz w:val="32"/>
          <w:szCs w:val="32"/>
        </w:rPr>
      </w:pPr>
      <w:r>
        <w:rPr>
          <w:rFonts w:hint="eastAsia" w:ascii="仿宋_GB2312" w:hAnsi="黑体" w:eastAsia="仿宋_GB2312"/>
          <w:b/>
          <w:color w:val="auto"/>
          <w:sz w:val="32"/>
          <w:szCs w:val="32"/>
        </w:rPr>
        <w:t>第一部分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概况</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一、部门主要职责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东湖区贤士湖管理处为区委、区政府派出机构，主要职责是：</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1、宣传和贯彻党的路线、方针、政策。维护国家的宪法和法律，执行上级党委和人民政府的各项命令和决定，负责管理处管辖区域内各村党的建设、基层政权建设、纪检监察工作。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负责制订管理处经济工作规划并组织实施。大力发展管理处管辖区域内集体经济、农业生产、做好财税、招商引资、水利建设等工作。促进个私民营经济的发展；负责各村集体资产的监督管理和内部审计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3、尊重农村村委会的法律地位，指导、帮助村委会开展组织建设、制度建设和其他工作。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4、积极推动村委会的精神文明和物质文明建设。做好村委会向社区居民委员会的过渡工作，充分利用农村资源，开展村级服务和村级科教文卫及法律的普及工作。负责村委会干部的政治教育、业务培训，帮助村委会依法对居住区物业管理进行指导监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5、负责各村的计划生育工作。研究制定村级计划生育工作计划并组织实施；督促、指导各村开展计划生育网络建设、流动人口计划生育管理等各项工作。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6、负责管理处的社会治安综合治理工作。研究制定管理处的社会治安综合治理规划并组织实施；督促、指导各村开展专项整治、安全防火、人民调解、法制宣传教育等各项社会治安综合治理工作，维护政治安定和社会稳定。</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7、负责管辖区域内的市容环境卫生管理，参与城市建设和管理。协助城建、环保、市政、园林等部门清理违章占道摊点、管理和监督市政配套设施，做好环境保护和绿化等工作。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8、负责各村的兵役调查登记、征兵工作和民兵预备役工作。做好村级社会救助、拥军优属、民族民俗事务、爱国卫生、扶贫助残等社会事务工作。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9、协助人大常委会组织所管辖区域的人民代表的学习、视察和选举等活动，为人民代表依法行使权力创造有利条件。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10、加强督促检查和信息调研工作，收集村民群众反映的各类问题，协调有关部门加以解决。及时向区委、区政府反映村民的意见及要求，受理群众来信来访，承办区委、区政府交办的其他工作。</w:t>
      </w:r>
    </w:p>
    <w:p>
      <w:pPr>
        <w:pStyle w:val="11"/>
        <w:keepNext w:val="0"/>
        <w:keepLines w:val="0"/>
        <w:pageBreakBefore w:val="0"/>
        <w:widowControl w:val="0"/>
        <w:numPr>
          <w:ilvl w:val="0"/>
          <w:numId w:val="2"/>
        </w:numPr>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部门2023年主要工作任务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023年，</w:t>
      </w:r>
      <w:r>
        <w:rPr>
          <w:rFonts w:hint="eastAsia" w:ascii="仿宋" w:hAnsi="仿宋" w:eastAsia="仿宋" w:cs="仿宋"/>
          <w:sz w:val="32"/>
          <w:szCs w:val="32"/>
          <w:lang w:eastAsia="zh-CN"/>
        </w:rPr>
        <w:t>贤士湖管理处</w:t>
      </w:r>
      <w:r>
        <w:rPr>
          <w:rFonts w:hint="eastAsia" w:ascii="仿宋" w:hAnsi="仿宋" w:eastAsia="仿宋" w:cs="仿宋"/>
          <w:sz w:val="32"/>
          <w:szCs w:val="32"/>
        </w:rPr>
        <w:t>将以更加创新的举措、更加务实的作风、更加高效的工作，完整、准确、全面贯彻新发展理念，加快构建新发展格局，推动高质量发展，扎实做好各项工作。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sz w:val="32"/>
          <w:szCs w:val="32"/>
        </w:rPr>
      </w:pPr>
      <w:r>
        <w:rPr>
          <w:rFonts w:hint="eastAsia" w:ascii="仿宋" w:hAnsi="仿宋" w:eastAsia="仿宋" w:cs="仿宋"/>
          <w:b/>
          <w:sz w:val="32"/>
          <w:szCs w:val="32"/>
        </w:rPr>
        <w:t>1.聚焦党的建设，进一步发挥统领作用。</w:t>
      </w:r>
      <w:r>
        <w:rPr>
          <w:rFonts w:hint="eastAsia" w:ascii="仿宋" w:hAnsi="仿宋" w:eastAsia="仿宋" w:cs="仿宋"/>
          <w:sz w:val="32"/>
          <w:szCs w:val="32"/>
        </w:rPr>
        <w:t>一是深入学习领会党的二十大精神。以学习贯彻党的二十大精神为主线，把提高党员干部的思想政治素质和业务工作能力，作为党建工作的一项重要内容常抓不懈。二是狠抓基层党建责任落实。建立完善处村两级党建目标责任体系，分类确定年度党建工作重点任务，细化优化考评办法，做到“行有标尺、做有规范”。三是不断增强品牌示范带动效应。大力推进“党建+”模式，进一步抓实“两新组织”建设，不断增强党建促乡村振兴的能力。</w:t>
      </w:r>
    </w:p>
    <w:p>
      <w:pPr>
        <w:pStyle w:val="15"/>
        <w:keepNext w:val="0"/>
        <w:keepLines w:val="0"/>
        <w:pageBreakBefore w:val="0"/>
        <w:widowControl/>
        <w:kinsoku w:val="0"/>
        <w:wordWrap/>
        <w:overflowPunct/>
        <w:topLinePunct w:val="0"/>
        <w:autoSpaceDE w:val="0"/>
        <w:autoSpaceDN w:val="0"/>
        <w:bidi w:val="0"/>
        <w:adjustRightInd w:val="0"/>
        <w:snapToGrid w:val="0"/>
        <w:spacing w:line="360" w:lineRule="auto"/>
        <w:ind w:firstLine="643"/>
        <w:textAlignment w:val="baseline"/>
        <w:rPr>
          <w:rFonts w:hint="eastAsia" w:ascii="仿宋" w:hAnsi="仿宋" w:eastAsia="仿宋" w:cs="仿宋"/>
          <w:sz w:val="32"/>
          <w:szCs w:val="32"/>
        </w:rPr>
      </w:pPr>
      <w:r>
        <w:rPr>
          <w:rFonts w:hint="eastAsia" w:ascii="仿宋" w:hAnsi="仿宋" w:eastAsia="仿宋" w:cs="仿宋"/>
          <w:b/>
          <w:sz w:val="32"/>
          <w:szCs w:val="32"/>
        </w:rPr>
        <w:t>2.聚焦经济增长，进一步完成经济指标。</w:t>
      </w:r>
      <w:r>
        <w:rPr>
          <w:rFonts w:hint="eastAsia" w:ascii="仿宋" w:hAnsi="仿宋" w:eastAsia="仿宋" w:cs="仿宋"/>
          <w:sz w:val="32"/>
          <w:szCs w:val="32"/>
        </w:rPr>
        <w:t>一是加快服务业企业引进。改进服务方式，提高服务效率，全力为企业和客商提供高效便捷、周到细致的服务，吸引更多品牌服务业企业落户我处。二是抓好新增固投项目工作。进一步加强与市、区级相关部门协调沟通，继续跟踪好北二环二期及南昌广电网络4K超高清智能终端整体转换项目，确保项目在我区第一时间入统。三是创新招商理念。充分利用好我处辖区旧改还建的近8万平米的产业用房和受疫情影响空置出来的近1万平米闲置房产为载体，制作贤士湖管理处招商引资项目手册，结合我区“4+X产业发展定位”，力争引进品牌较大的优质企业入驻，目前已和有意向入驻的企业重庆大龙网集团有限公司跨境电商项目和北京木棉汇集团有限公司的数字经济产业园项目积极对接中，争取尽早招引落地。四是加大招商引资力度。江西蓝腾经营管理集团有限公司立足东湖，辐射南昌，打造3A社区商业新生态，创造无限服务价值；招商方向朝着教育培训、品牌餐饮、家居生活、饮品休闲、美妆美容、休闲娱乐、超市方向发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kern w:val="0"/>
          <w:sz w:val="32"/>
          <w:szCs w:val="32"/>
        </w:rPr>
      </w:pPr>
      <w:r>
        <w:rPr>
          <w:rFonts w:hint="eastAsia" w:ascii="仿宋" w:hAnsi="仿宋" w:eastAsia="仿宋" w:cs="仿宋"/>
          <w:b/>
          <w:kern w:val="0"/>
          <w:sz w:val="32"/>
          <w:szCs w:val="32"/>
        </w:rPr>
        <w:t>3.</w:t>
      </w:r>
      <w:r>
        <w:rPr>
          <w:rFonts w:hint="eastAsia" w:ascii="仿宋" w:hAnsi="仿宋" w:eastAsia="仿宋" w:cs="仿宋"/>
          <w:b/>
          <w:sz w:val="32"/>
          <w:szCs w:val="32"/>
        </w:rPr>
        <w:t>聚焦平安稳定，进一步维护社会和谐。</w:t>
      </w:r>
      <w:r>
        <w:rPr>
          <w:rFonts w:hint="eastAsia" w:ascii="仿宋" w:hAnsi="仿宋" w:eastAsia="仿宋" w:cs="仿宋"/>
          <w:sz w:val="32"/>
          <w:szCs w:val="32"/>
        </w:rPr>
        <w:t>一是定期举行综治业务培训，不断提高综治干部的业务水平。二是继续推进平安村建设，使群众安全感得到进一步提升。三是积极推进市域社会治理现代化建设，强化源头防范，</w:t>
      </w:r>
      <w:r>
        <w:rPr>
          <w:rFonts w:hint="eastAsia" w:ascii="仿宋" w:hAnsi="仿宋" w:eastAsia="仿宋" w:cs="仿宋"/>
          <w:sz w:val="32"/>
          <w:szCs w:val="32"/>
          <w:shd w:val="clear" w:color="auto" w:fill="FFFFFF"/>
        </w:rPr>
        <w:t>多元化解，持续攻坚克难，进一步提升维护社会稳定的能力</w:t>
      </w:r>
      <w:r>
        <w:rPr>
          <w:rFonts w:hint="eastAsia" w:ascii="仿宋" w:hAnsi="仿宋" w:eastAsia="仿宋" w:cs="仿宋"/>
          <w:sz w:val="32"/>
          <w:szCs w:val="32"/>
        </w:rPr>
        <w:t>。四、</w:t>
      </w:r>
      <w:r>
        <w:rPr>
          <w:rFonts w:hint="eastAsia" w:ascii="仿宋" w:hAnsi="仿宋" w:eastAsia="仿宋" w:cs="仿宋"/>
          <w:sz w:val="32"/>
          <w:szCs w:val="32"/>
          <w:shd w:val="clear" w:color="auto" w:fill="FFFFFF"/>
        </w:rPr>
        <w:t>进一步完善以“党政同责、一岗双责、齐抓共管、失职追责”为核心的安全生产责任制度，进一步加大隐患排查治理力度</w:t>
      </w:r>
      <w:r>
        <w:rPr>
          <w:rFonts w:hint="eastAsia" w:ascii="仿宋" w:hAnsi="仿宋" w:eastAsia="仿宋" w:cs="仿宋"/>
          <w:sz w:val="32"/>
          <w:szCs w:val="32"/>
        </w:rPr>
        <w:t>，进一步完善《平安体系工作人员考核办法》，让平安干部能上能下，有奖有罚，充分调动平安体系全体工作人员的积极性、主动性、创造性，促进平安体系人员依法履行职责，提高公共服务质量和效率。</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kern w:val="0"/>
          <w:sz w:val="32"/>
          <w:szCs w:val="32"/>
        </w:rPr>
      </w:pPr>
      <w:r>
        <w:rPr>
          <w:rFonts w:hint="eastAsia" w:ascii="仿宋" w:hAnsi="仿宋" w:eastAsia="仿宋" w:cs="仿宋"/>
          <w:b/>
          <w:sz w:val="32"/>
          <w:szCs w:val="32"/>
        </w:rPr>
        <w:t>4.</w:t>
      </w:r>
      <w:r>
        <w:rPr>
          <w:rFonts w:hint="eastAsia" w:ascii="仿宋" w:hAnsi="仿宋" w:eastAsia="仿宋" w:cs="仿宋"/>
          <w:b/>
          <w:bCs/>
          <w:sz w:val="32"/>
          <w:szCs w:val="32"/>
        </w:rPr>
        <w:t>聚焦群众需求，进一步增进民生福祉。</w:t>
      </w:r>
      <w:r>
        <w:rPr>
          <w:rFonts w:hint="eastAsia" w:ascii="仿宋" w:hAnsi="仿宋" w:eastAsia="仿宋" w:cs="仿宋"/>
          <w:bCs/>
          <w:sz w:val="32"/>
          <w:szCs w:val="32"/>
        </w:rPr>
        <w:t>一是</w:t>
      </w:r>
      <w:r>
        <w:rPr>
          <w:rFonts w:hint="eastAsia" w:ascii="仿宋" w:hAnsi="仿宋" w:eastAsia="仿宋" w:cs="仿宋"/>
          <w:sz w:val="32"/>
          <w:szCs w:val="32"/>
        </w:rPr>
        <w:t>规范城乡社会救助工作。城乡低保要继续巩固“应保尽保”成果，严格审批机制，做好动态管理，落实分类救助，进一步健全临时生活救助制度。二是用心做好双拥工作。及时足额发放各类优待抚恤事业费，切实保障涉军群体的优抚待遇落实；在重点优抚对象中开展帮扶活动；继续做好退役军人优待证的办理工作。三是</w:t>
      </w:r>
      <w:r>
        <w:rPr>
          <w:rFonts w:hint="eastAsia" w:ascii="仿宋" w:hAnsi="仿宋" w:eastAsia="仿宋" w:cs="仿宋"/>
          <w:kern w:val="0"/>
          <w:sz w:val="32"/>
          <w:szCs w:val="32"/>
        </w:rPr>
        <w:t>继续做好村民各项保险的宣传工作，确保居民能及时到各项保险政策的变化。把各项有利于百姓的便民利民政策宣传到位，使百姓得到实惠。四是</w:t>
      </w:r>
      <w:r>
        <w:rPr>
          <w:rFonts w:hint="eastAsia" w:ascii="仿宋" w:hAnsi="仿宋" w:eastAsia="仿宋" w:cs="仿宋"/>
          <w:sz w:val="32"/>
          <w:szCs w:val="32"/>
        </w:rPr>
        <w:t>组织管理处六个行政村继续开展 “三风”活动、 “身边十个”最美优秀榜样评选</w:t>
      </w:r>
      <w:r>
        <w:rPr>
          <w:rFonts w:hint="eastAsia" w:ascii="仿宋" w:hAnsi="仿宋" w:eastAsia="仿宋" w:cs="仿宋"/>
          <w:b/>
          <w:kern w:val="0"/>
          <w:sz w:val="32"/>
          <w:szCs w:val="32"/>
        </w:rPr>
        <w:t xml:space="preserve"> 。</w:t>
      </w:r>
      <w:r>
        <w:rPr>
          <w:rFonts w:hint="eastAsia" w:ascii="仿宋" w:hAnsi="仿宋" w:eastAsia="仿宋" w:cs="仿宋"/>
          <w:kern w:val="0"/>
          <w:sz w:val="32"/>
          <w:szCs w:val="32"/>
        </w:rPr>
        <w:t>五是公园村部分道路年久失修，下大雨时积水严重，公园村利用“暖心实事”工程资金将公园村左家自然村的低洼破旧路面进行改造，让村庄里面的道路旧貌换新颜，提升居民的幸福感。</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仿宋_GB2312" w:hAnsi="仿宋_GB2312" w:eastAsia="仿宋_GB2312" w:cs="仿宋_GB2312"/>
          <w:color w:val="auto"/>
          <w:sz w:val="32"/>
          <w:szCs w:val="32"/>
          <w:lang w:val="en-US" w:eastAsia="zh-CN"/>
        </w:rPr>
      </w:pPr>
      <w:r>
        <w:rPr>
          <w:rFonts w:hint="eastAsia" w:ascii="仿宋" w:hAnsi="仿宋" w:eastAsia="仿宋" w:cs="仿宋"/>
          <w:b/>
          <w:kern w:val="0"/>
          <w:sz w:val="32"/>
          <w:szCs w:val="32"/>
        </w:rPr>
        <w:t>5.聚焦征迁问题，进一步突破征迁难关。</w:t>
      </w:r>
      <w:r>
        <w:rPr>
          <w:rFonts w:hint="eastAsia" w:ascii="仿宋" w:hAnsi="仿宋" w:eastAsia="仿宋" w:cs="仿宋"/>
          <w:kern w:val="0"/>
          <w:sz w:val="32"/>
          <w:szCs w:val="32"/>
        </w:rPr>
        <w:t>一是</w:t>
      </w:r>
      <w:r>
        <w:rPr>
          <w:rFonts w:hint="eastAsia" w:ascii="仿宋" w:hAnsi="仿宋" w:eastAsia="仿宋" w:cs="仿宋"/>
          <w:sz w:val="32"/>
          <w:szCs w:val="32"/>
        </w:rPr>
        <w:t>继续做好对“征迁大会战”历史遗留问题任务的推进工作。二是继续做好旧改方面信访工作。三是做好东湖丽景安置房开工建设工作。四是继续推进安置房分配工作。五是继续完善做好征迁房屋数据及安置数据录入工作。</w:t>
      </w:r>
    </w:p>
    <w:p>
      <w:pPr>
        <w:pStyle w:val="11"/>
        <w:keepNext w:val="0"/>
        <w:keepLines w:val="0"/>
        <w:pageBreakBefore w:val="0"/>
        <w:widowControl w:val="0"/>
        <w:numPr>
          <w:ilvl w:val="0"/>
          <w:numId w:val="2"/>
        </w:numPr>
        <w:kinsoku/>
        <w:wordWrap/>
        <w:overflowPunct/>
        <w:topLinePunct/>
        <w:autoSpaceDE/>
        <w:autoSpaceDN/>
        <w:bidi w:val="0"/>
        <w:spacing w:line="360" w:lineRule="auto"/>
        <w:ind w:left="0" w:leftChars="0" w:firstLine="640" w:firstLineChars="200"/>
        <w:jc w:val="both"/>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部门基本情况</w:t>
      </w:r>
    </w:p>
    <w:p>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textAlignment w:val="auto"/>
        <w:rPr>
          <w:rFonts w:ascii="仿宋" w:hAnsi="仿宋" w:eastAsia="仿宋" w:cs="仿宋"/>
          <w:color w:val="auto"/>
          <w:sz w:val="30"/>
          <w:szCs w:val="30"/>
        </w:rPr>
      </w:pPr>
      <w:r>
        <w:rPr>
          <w:rFonts w:hint="eastAsia" w:ascii="仿宋_GB2312" w:hAnsi="仿宋_GB2312" w:eastAsia="仿宋_GB2312" w:cs="仿宋_GB2312"/>
          <w:color w:val="auto"/>
          <w:sz w:val="30"/>
          <w:szCs w:val="30"/>
        </w:rPr>
        <w:t>东湖区贤士湖管理处共有预算单位1个。编制人数22人，其中：行政编制</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人、全部补助事业编制2</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人；实有人数</w:t>
      </w:r>
      <w:r>
        <w:rPr>
          <w:rFonts w:hint="eastAsia" w:ascii="仿宋_GB2312" w:hAnsi="仿宋_GB2312" w:eastAsia="仿宋_GB2312" w:cs="仿宋_GB2312"/>
          <w:color w:val="auto"/>
          <w:sz w:val="30"/>
          <w:szCs w:val="30"/>
          <w:lang w:val="en-US" w:eastAsia="zh-CN"/>
        </w:rPr>
        <w:t>15</w:t>
      </w:r>
      <w:r>
        <w:rPr>
          <w:rFonts w:hint="eastAsia" w:ascii="仿宋_GB2312" w:hAnsi="仿宋_GB2312" w:eastAsia="仿宋_GB2312" w:cs="仿宋_GB2312"/>
          <w:color w:val="auto"/>
          <w:sz w:val="30"/>
          <w:szCs w:val="30"/>
        </w:rPr>
        <w:t>人，其中：在职人数</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人，包括行政人员</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人、全部补助事业人员1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人</w:t>
      </w:r>
      <w:r>
        <w:rPr>
          <w:rFonts w:hint="eastAsia" w:ascii="仿宋_GB2312" w:hAnsi="仿宋_GB2312" w:eastAsia="仿宋_GB2312" w:cs="仿宋_GB2312"/>
          <w:color w:val="auto"/>
          <w:sz w:val="30"/>
          <w:szCs w:val="30"/>
          <w:lang w:eastAsia="zh-CN"/>
        </w:rPr>
        <w:t>、退休人员</w:t>
      </w:r>
      <w:r>
        <w:rPr>
          <w:rFonts w:hint="eastAsia" w:ascii="仿宋_GB2312" w:hAnsi="仿宋_GB2312" w:eastAsia="仿宋_GB2312" w:cs="仿宋_GB2312"/>
          <w:color w:val="auto"/>
          <w:sz w:val="30"/>
          <w:szCs w:val="30"/>
          <w:lang w:val="en-US" w:eastAsia="zh-CN"/>
        </w:rPr>
        <w:t>1人</w:t>
      </w:r>
      <w:r>
        <w:rPr>
          <w:rFonts w:hint="eastAsia" w:ascii="仿宋_GB2312" w:hAnsi="仿宋_GB2312" w:eastAsia="仿宋_GB2312" w:cs="仿宋_GB2312"/>
          <w:color w:val="auto"/>
          <w:sz w:val="30"/>
          <w:szCs w:val="30"/>
        </w:rPr>
        <w:t>。</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二</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年部门预算情况说明</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eastAsia" w:ascii="黑体" w:hAnsi="黑体" w:eastAsia="黑体"/>
          <w:color w:val="auto"/>
          <w:sz w:val="32"/>
          <w:szCs w:val="32"/>
        </w:rPr>
      </w:pPr>
      <w:r>
        <w:rPr>
          <w:rFonts w:hint="eastAsia" w:ascii="黑体" w:hAnsi="黑体" w:eastAsia="黑体"/>
          <w:color w:val="auto"/>
          <w:sz w:val="32"/>
          <w:szCs w:val="32"/>
        </w:rPr>
        <w:t>一、部门预算收支情况说明</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（一）收入预算情况</w:t>
      </w:r>
    </w:p>
    <w:p>
      <w:pPr>
        <w:pStyle w:val="7"/>
        <w:keepNext w:val="0"/>
        <w:keepLines w:val="0"/>
        <w:pageBreakBefore w:val="0"/>
        <w:widowControl/>
        <w:kinsoku/>
        <w:wordWrap/>
        <w:overflowPunct/>
        <w:autoSpaceDE/>
        <w:autoSpaceDN/>
        <w:bidi w:val="0"/>
        <w:spacing w:before="0" w:beforeAutospacing="0" w:after="0" w:afterAutospacing="0" w:line="360" w:lineRule="auto"/>
        <w:ind w:firstLine="420"/>
        <w:rPr>
          <w:rFonts w:hint="eastAsia" w:ascii="仿宋" w:hAnsi="仿宋" w:eastAsia="仿宋" w:cs="仿宋"/>
          <w:color w:val="000000"/>
          <w:sz w:val="30"/>
          <w:szCs w:val="30"/>
          <w:lang w:eastAsia="zh-CN"/>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收入预算总额为</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万元，其中：财政拨款收入</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万元，占收入预算总额的</w:t>
      </w:r>
      <w:r>
        <w:rPr>
          <w:rFonts w:hint="eastAsia" w:ascii="仿宋" w:hAnsi="仿宋" w:eastAsia="仿宋" w:cs="仿宋"/>
          <w:color w:val="000000"/>
          <w:sz w:val="30"/>
          <w:szCs w:val="30"/>
          <w:lang w:val="en-US" w:eastAsia="zh-CN"/>
        </w:rPr>
        <w:t>100</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（二）支出预算情况</w:t>
      </w:r>
    </w:p>
    <w:p>
      <w:pPr>
        <w:pStyle w:val="7"/>
        <w:keepNext w:val="0"/>
        <w:keepLines w:val="0"/>
        <w:pageBreakBefore w:val="0"/>
        <w:widowControl/>
        <w:kinsoku/>
        <w:wordWrap/>
        <w:overflowPunct/>
        <w:autoSpaceDE/>
        <w:autoSpaceDN/>
        <w:bidi w:val="0"/>
        <w:spacing w:before="0" w:beforeAutospacing="0" w:after="0" w:afterAutospacing="0" w:line="360" w:lineRule="auto"/>
        <w:ind w:firstLine="420"/>
        <w:rPr>
          <w:rFonts w:ascii="仿宋" w:hAnsi="仿宋" w:eastAsia="仿宋" w:cs="仿宋"/>
          <w:color w:val="000000"/>
          <w:sz w:val="30"/>
          <w:szCs w:val="30"/>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支出预算总额为</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万元。其中：</w:t>
      </w:r>
    </w:p>
    <w:p>
      <w:pPr>
        <w:pStyle w:val="7"/>
        <w:keepNext w:val="0"/>
        <w:keepLines w:val="0"/>
        <w:pageBreakBefore w:val="0"/>
        <w:widowControl/>
        <w:wordWrap/>
        <w:overflowPunct/>
        <w:bidi w:val="0"/>
        <w:spacing w:before="0" w:beforeAutospacing="0" w:after="0" w:afterAutospacing="0" w:line="360" w:lineRule="auto"/>
        <w:ind w:firstLine="420"/>
        <w:rPr>
          <w:rFonts w:hint="eastAsia" w:ascii="仿宋" w:hAnsi="仿宋" w:eastAsia="仿宋" w:cs="仿宋"/>
          <w:color w:val="000000"/>
          <w:sz w:val="30"/>
          <w:szCs w:val="30"/>
          <w:lang w:eastAsia="zh-CN"/>
        </w:rPr>
      </w:pPr>
      <w:r>
        <w:rPr>
          <w:rFonts w:hint="eastAsia" w:ascii="仿宋" w:hAnsi="仿宋" w:eastAsia="仿宋" w:cs="仿宋"/>
          <w:color w:val="000000"/>
          <w:sz w:val="30"/>
          <w:szCs w:val="30"/>
        </w:rPr>
        <w:t>按支出项目类别划分：基本支出</w:t>
      </w:r>
      <w:r>
        <w:rPr>
          <w:rFonts w:hint="eastAsia" w:ascii="仿宋" w:hAnsi="仿宋" w:eastAsia="仿宋" w:cs="仿宋"/>
          <w:color w:val="000000"/>
          <w:sz w:val="30"/>
          <w:szCs w:val="30"/>
          <w:lang w:val="en-US" w:eastAsia="zh-CN"/>
        </w:rPr>
        <w:t>254.46</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67.3</w:t>
      </w:r>
      <w:r>
        <w:rPr>
          <w:rFonts w:hint="eastAsia" w:ascii="仿宋" w:hAnsi="仿宋" w:eastAsia="仿宋" w:cs="仿宋"/>
          <w:color w:val="000000"/>
          <w:sz w:val="30"/>
          <w:szCs w:val="30"/>
        </w:rPr>
        <w:t>%；包括工资福利支出</w:t>
      </w:r>
      <w:r>
        <w:rPr>
          <w:rFonts w:hint="eastAsia" w:ascii="仿宋" w:hAnsi="仿宋" w:eastAsia="仿宋" w:cs="仿宋"/>
          <w:color w:val="000000"/>
          <w:sz w:val="30"/>
          <w:szCs w:val="30"/>
          <w:lang w:val="en-US" w:eastAsia="zh-CN"/>
        </w:rPr>
        <w:t>240.23</w:t>
      </w:r>
      <w:r>
        <w:rPr>
          <w:rFonts w:hint="eastAsia" w:ascii="仿宋" w:hAnsi="仿宋" w:eastAsia="仿宋" w:cs="仿宋"/>
          <w:color w:val="000000"/>
          <w:sz w:val="30"/>
          <w:szCs w:val="30"/>
        </w:rPr>
        <w:t>万元、日常公用支出</w:t>
      </w:r>
      <w:r>
        <w:rPr>
          <w:rFonts w:hint="eastAsia" w:ascii="仿宋" w:hAnsi="仿宋" w:eastAsia="仿宋" w:cs="仿宋"/>
          <w:color w:val="000000"/>
          <w:sz w:val="30"/>
          <w:szCs w:val="30"/>
          <w:lang w:val="en-US" w:eastAsia="zh-CN"/>
        </w:rPr>
        <w:t>14.01</w:t>
      </w:r>
      <w:r>
        <w:rPr>
          <w:rFonts w:hint="eastAsia" w:ascii="仿宋" w:hAnsi="仿宋" w:eastAsia="仿宋" w:cs="仿宋"/>
          <w:color w:val="000000"/>
          <w:sz w:val="30"/>
          <w:szCs w:val="30"/>
        </w:rPr>
        <w:t>万元、对个人和家庭的补助</w:t>
      </w:r>
      <w:r>
        <w:rPr>
          <w:rFonts w:hint="eastAsia" w:ascii="仿宋" w:hAnsi="仿宋" w:eastAsia="仿宋" w:cs="仿宋"/>
          <w:color w:val="000000"/>
          <w:sz w:val="30"/>
          <w:szCs w:val="30"/>
          <w:lang w:val="en-US" w:eastAsia="zh-CN"/>
        </w:rPr>
        <w:t>0.22</w:t>
      </w:r>
      <w:r>
        <w:rPr>
          <w:rFonts w:hint="eastAsia" w:ascii="仿宋" w:hAnsi="仿宋" w:eastAsia="仿宋" w:cs="仿宋"/>
          <w:color w:val="000000"/>
          <w:sz w:val="30"/>
          <w:szCs w:val="30"/>
        </w:rPr>
        <w:t>万元；项目支出</w:t>
      </w:r>
      <w:r>
        <w:rPr>
          <w:rFonts w:hint="eastAsia" w:ascii="仿宋" w:hAnsi="仿宋" w:eastAsia="仿宋" w:cs="仿宋"/>
          <w:color w:val="000000"/>
          <w:sz w:val="30"/>
          <w:szCs w:val="30"/>
          <w:lang w:val="en-US" w:eastAsia="zh-CN"/>
        </w:rPr>
        <w:t>123.47</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32.7</w:t>
      </w:r>
      <w:r>
        <w:rPr>
          <w:rFonts w:hint="eastAsia" w:ascii="仿宋" w:hAnsi="仿宋" w:eastAsia="仿宋" w:cs="仿宋"/>
          <w:color w:val="000000"/>
          <w:sz w:val="30"/>
          <w:szCs w:val="30"/>
        </w:rPr>
        <w:t>%，包括行政事业性项目支出</w:t>
      </w:r>
      <w:r>
        <w:rPr>
          <w:rFonts w:hint="eastAsia" w:ascii="仿宋" w:hAnsi="仿宋" w:eastAsia="仿宋" w:cs="仿宋"/>
          <w:color w:val="000000"/>
          <w:sz w:val="30"/>
          <w:szCs w:val="30"/>
          <w:lang w:val="en-US" w:eastAsia="zh-CN"/>
        </w:rPr>
        <w:t>123.47</w:t>
      </w:r>
      <w:r>
        <w:rPr>
          <w:rFonts w:hint="eastAsia" w:ascii="仿宋" w:hAnsi="仿宋" w:eastAsia="仿宋" w:cs="仿宋"/>
          <w:color w:val="000000"/>
          <w:sz w:val="30"/>
          <w:szCs w:val="30"/>
        </w:rPr>
        <w:t>万元</w:t>
      </w:r>
      <w:r>
        <w:rPr>
          <w:rFonts w:hint="eastAsia" w:ascii="仿宋" w:hAnsi="仿宋" w:eastAsia="仿宋" w:cs="仿宋"/>
          <w:color w:val="000000"/>
          <w:sz w:val="30"/>
          <w:szCs w:val="30"/>
          <w:lang w:eastAsia="zh-CN"/>
        </w:rPr>
        <w:t>。</w:t>
      </w:r>
    </w:p>
    <w:p>
      <w:pPr>
        <w:pStyle w:val="7"/>
        <w:keepNext w:val="0"/>
        <w:keepLines w:val="0"/>
        <w:pageBreakBefore w:val="0"/>
        <w:widowControl/>
        <w:wordWrap/>
        <w:overflowPunct/>
        <w:bidi w:val="0"/>
        <w:spacing w:before="0" w:beforeAutospacing="0" w:after="0" w:afterAutospacing="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按支出功能科目划分：一般公共服务</w:t>
      </w:r>
      <w:r>
        <w:rPr>
          <w:rFonts w:hint="eastAsia" w:ascii="仿宋" w:hAnsi="仿宋" w:eastAsia="仿宋" w:cs="仿宋"/>
          <w:color w:val="000000"/>
          <w:sz w:val="30"/>
          <w:szCs w:val="30"/>
          <w:lang w:eastAsia="zh-CN"/>
        </w:rPr>
        <w:t>支出</w:t>
      </w:r>
      <w:r>
        <w:rPr>
          <w:rFonts w:hint="eastAsia" w:ascii="仿宋" w:hAnsi="仿宋" w:eastAsia="仿宋" w:cs="仿宋"/>
          <w:color w:val="000000"/>
          <w:sz w:val="30"/>
          <w:szCs w:val="30"/>
          <w:lang w:val="en-US" w:eastAsia="zh-CN"/>
        </w:rPr>
        <w:t>240.57</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63.7</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社会保障和就业支出</w:t>
      </w:r>
      <w:r>
        <w:rPr>
          <w:rFonts w:hint="eastAsia" w:ascii="仿宋" w:hAnsi="仿宋" w:eastAsia="仿宋" w:cs="仿宋"/>
          <w:color w:val="000000"/>
          <w:sz w:val="30"/>
          <w:szCs w:val="30"/>
          <w:lang w:val="en-US" w:eastAsia="zh-CN"/>
        </w:rPr>
        <w:t>30.76万元</w:t>
      </w:r>
      <w:r>
        <w:rPr>
          <w:rFonts w:hint="eastAsia" w:ascii="仿宋" w:hAnsi="仿宋" w:eastAsia="仿宋" w:cs="仿宋"/>
          <w:color w:val="000000"/>
          <w:sz w:val="30"/>
          <w:szCs w:val="30"/>
        </w:rPr>
        <w:t>，占支出预算总额的</w:t>
      </w:r>
      <w:r>
        <w:rPr>
          <w:rFonts w:hint="eastAsia" w:ascii="仿宋" w:hAnsi="仿宋" w:eastAsia="仿宋" w:cs="仿宋"/>
          <w:color w:val="000000"/>
          <w:sz w:val="30"/>
          <w:szCs w:val="30"/>
          <w:lang w:val="en-US" w:eastAsia="zh-CN"/>
        </w:rPr>
        <w:t>8.1</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城乡社区支出</w:t>
      </w:r>
      <w:r>
        <w:rPr>
          <w:rFonts w:hint="eastAsia" w:ascii="仿宋" w:hAnsi="仿宋" w:eastAsia="仿宋" w:cs="仿宋"/>
          <w:color w:val="000000"/>
          <w:sz w:val="30"/>
          <w:szCs w:val="30"/>
          <w:lang w:val="en-US" w:eastAsia="zh-CN"/>
        </w:rPr>
        <w:t>58.97万元，占支出预算总额的15.6%；住房保障支出47.63万元，占支出预算总额的12.6%。</w:t>
      </w:r>
    </w:p>
    <w:p>
      <w:pPr>
        <w:pStyle w:val="7"/>
        <w:keepNext w:val="0"/>
        <w:keepLines w:val="0"/>
        <w:pageBreakBefore w:val="0"/>
        <w:widowControl/>
        <w:wordWrap/>
        <w:overflowPunct/>
        <w:bidi w:val="0"/>
        <w:spacing w:before="0" w:beforeAutospacing="0" w:after="0" w:afterAutospacing="0" w:line="360" w:lineRule="auto"/>
        <w:ind w:firstLine="420"/>
        <w:rPr>
          <w:rFonts w:hint="eastAsia" w:ascii="仿宋" w:hAnsi="仿宋" w:eastAsia="仿宋" w:cs="仿宋"/>
          <w:color w:val="000000"/>
          <w:sz w:val="30"/>
          <w:szCs w:val="30"/>
        </w:rPr>
      </w:pPr>
      <w:r>
        <w:rPr>
          <w:rFonts w:hint="eastAsia" w:ascii="仿宋" w:hAnsi="仿宋" w:eastAsia="仿宋" w:cs="仿宋"/>
          <w:color w:val="000000"/>
          <w:sz w:val="30"/>
          <w:szCs w:val="30"/>
        </w:rPr>
        <w:t>按支出经济分类划分：工资福利支出</w:t>
      </w:r>
      <w:r>
        <w:rPr>
          <w:rFonts w:hint="eastAsia" w:ascii="仿宋" w:hAnsi="仿宋" w:eastAsia="仿宋" w:cs="仿宋"/>
          <w:color w:val="000000"/>
          <w:sz w:val="30"/>
          <w:szCs w:val="30"/>
          <w:lang w:val="en-US" w:eastAsia="zh-CN"/>
        </w:rPr>
        <w:t>240.23</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63.6</w:t>
      </w:r>
      <w:r>
        <w:rPr>
          <w:rFonts w:hint="eastAsia" w:ascii="仿宋" w:hAnsi="仿宋" w:eastAsia="仿宋" w:cs="仿宋"/>
          <w:color w:val="000000"/>
          <w:sz w:val="30"/>
          <w:szCs w:val="30"/>
        </w:rPr>
        <w:t>%；商品和服务支出</w:t>
      </w:r>
      <w:r>
        <w:rPr>
          <w:rFonts w:hint="eastAsia" w:ascii="仿宋" w:hAnsi="仿宋" w:eastAsia="仿宋" w:cs="仿宋"/>
          <w:color w:val="000000"/>
          <w:sz w:val="30"/>
          <w:szCs w:val="30"/>
          <w:lang w:val="en-US" w:eastAsia="zh-CN"/>
        </w:rPr>
        <w:t>137.48</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36.3</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对个人和家庭的补助支出</w:t>
      </w:r>
      <w:r>
        <w:rPr>
          <w:rFonts w:hint="eastAsia" w:ascii="仿宋" w:hAnsi="仿宋" w:eastAsia="仿宋" w:cs="仿宋"/>
          <w:color w:val="000000"/>
          <w:sz w:val="30"/>
          <w:szCs w:val="30"/>
          <w:lang w:val="en-US" w:eastAsia="zh-CN"/>
        </w:rPr>
        <w:t>0.22</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0.1</w:t>
      </w:r>
      <w:r>
        <w:rPr>
          <w:rFonts w:hint="eastAsia" w:ascii="仿宋" w:hAnsi="仿宋" w:eastAsia="仿宋" w:cs="仿宋"/>
          <w:color w:val="000000"/>
          <w:sz w:val="30"/>
          <w:szCs w:val="30"/>
        </w:rPr>
        <w:t>%。</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（三）财政拨款支出情况</w:t>
      </w:r>
    </w:p>
    <w:p>
      <w:pPr>
        <w:pStyle w:val="7"/>
        <w:keepNext w:val="0"/>
        <w:keepLines w:val="0"/>
        <w:pageBreakBefore w:val="0"/>
        <w:widowControl/>
        <w:wordWrap/>
        <w:overflowPunct/>
        <w:bidi w:val="0"/>
        <w:spacing w:before="0" w:beforeAutospacing="0" w:after="0" w:afterAutospacing="0" w:line="360" w:lineRule="auto"/>
        <w:ind w:firstLine="420"/>
        <w:rPr>
          <w:rFonts w:ascii="仿宋" w:hAnsi="仿宋" w:eastAsia="仿宋" w:cs="仿宋"/>
          <w:color w:val="000000"/>
          <w:sz w:val="30"/>
          <w:szCs w:val="30"/>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财政拨款支出预算</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100</w:t>
      </w:r>
      <w:r>
        <w:rPr>
          <w:rFonts w:hint="eastAsia" w:ascii="仿宋" w:hAnsi="仿宋" w:eastAsia="仿宋" w:cs="仿宋"/>
          <w:color w:val="000000"/>
          <w:sz w:val="30"/>
          <w:szCs w:val="30"/>
        </w:rPr>
        <w:t>%，具体支出情况是：一般公共服务</w:t>
      </w:r>
      <w:r>
        <w:rPr>
          <w:rFonts w:hint="eastAsia" w:ascii="仿宋" w:hAnsi="仿宋" w:eastAsia="仿宋" w:cs="仿宋"/>
          <w:color w:val="000000"/>
          <w:sz w:val="30"/>
          <w:szCs w:val="30"/>
          <w:lang w:eastAsia="zh-CN"/>
        </w:rPr>
        <w:t>支出</w:t>
      </w:r>
      <w:r>
        <w:rPr>
          <w:rFonts w:hint="eastAsia" w:ascii="仿宋" w:hAnsi="仿宋" w:eastAsia="仿宋" w:cs="仿宋"/>
          <w:color w:val="000000"/>
          <w:sz w:val="30"/>
          <w:szCs w:val="30"/>
          <w:lang w:val="en-US" w:eastAsia="zh-CN"/>
        </w:rPr>
        <w:t>240.57</w:t>
      </w:r>
      <w:r>
        <w:rPr>
          <w:rFonts w:hint="eastAsia" w:ascii="仿宋" w:hAnsi="仿宋" w:eastAsia="仿宋" w:cs="仿宋"/>
          <w:color w:val="000000"/>
          <w:sz w:val="30"/>
          <w:szCs w:val="30"/>
        </w:rPr>
        <w:t>万元，占财政拨款支出的</w:t>
      </w:r>
      <w:r>
        <w:rPr>
          <w:rFonts w:hint="eastAsia" w:ascii="仿宋" w:hAnsi="仿宋" w:eastAsia="仿宋" w:cs="仿宋"/>
          <w:color w:val="000000"/>
          <w:sz w:val="30"/>
          <w:szCs w:val="30"/>
          <w:lang w:val="en-US" w:eastAsia="zh-CN"/>
        </w:rPr>
        <w:t>63.7</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社会保障和就业支出</w:t>
      </w:r>
      <w:r>
        <w:rPr>
          <w:rFonts w:hint="eastAsia" w:ascii="仿宋" w:hAnsi="仿宋" w:eastAsia="仿宋" w:cs="仿宋"/>
          <w:color w:val="000000"/>
          <w:sz w:val="30"/>
          <w:szCs w:val="30"/>
          <w:lang w:val="en-US" w:eastAsia="zh-CN"/>
        </w:rPr>
        <w:t>30.76万</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8.1</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城乡社区支出</w:t>
      </w:r>
      <w:r>
        <w:rPr>
          <w:rFonts w:hint="eastAsia" w:ascii="仿宋" w:hAnsi="仿宋" w:eastAsia="仿宋" w:cs="仿宋"/>
          <w:color w:val="000000"/>
          <w:sz w:val="30"/>
          <w:szCs w:val="30"/>
          <w:lang w:val="en-US" w:eastAsia="zh-CN"/>
        </w:rPr>
        <w:t>58.97万元，</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15.6</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lang w:val="en-US" w:eastAsia="zh-CN"/>
        </w:rPr>
        <w:t>住房保障支出47.63万元，</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12.6</w:t>
      </w:r>
      <w:r>
        <w:rPr>
          <w:rFonts w:hint="eastAsia" w:ascii="仿宋" w:hAnsi="仿宋" w:eastAsia="仿宋" w:cs="仿宋"/>
          <w:color w:val="000000"/>
          <w:sz w:val="30"/>
          <w:szCs w:val="30"/>
        </w:rPr>
        <w:t>%。</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（四）政府性基金情况</w:t>
      </w: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本部门没有政府性基金预算拨款安排的支出。</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（五）国有资本经营情况</w:t>
      </w: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本部门没有国有资本经营预算拨款安排的支出。</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（六）机关运行经费等重要事项的说明</w:t>
      </w:r>
    </w:p>
    <w:p>
      <w:pPr>
        <w:keepNext w:val="0"/>
        <w:keepLines w:val="0"/>
        <w:pageBreakBefore w:val="0"/>
        <w:wordWrap/>
        <w:overflowPunct/>
        <w:bidi w:val="0"/>
        <w:spacing w:line="360" w:lineRule="auto"/>
        <w:ind w:firstLine="750" w:firstLineChars="250"/>
        <w:rPr>
          <w:rFonts w:ascii="仿宋" w:hAnsi="仿宋" w:eastAsia="仿宋" w:cs="宋体"/>
          <w:color w:val="000000"/>
          <w:sz w:val="30"/>
          <w:szCs w:val="30"/>
        </w:rPr>
      </w:pPr>
      <w:r>
        <w:rPr>
          <w:rFonts w:hint="eastAsia" w:ascii="仿宋" w:hAnsi="仿宋" w:eastAsia="仿宋" w:cs="宋体"/>
          <w:color w:val="000000"/>
          <w:sz w:val="30"/>
          <w:szCs w:val="30"/>
          <w:lang w:eastAsia="zh-CN"/>
        </w:rPr>
        <w:t>2023</w:t>
      </w:r>
      <w:r>
        <w:rPr>
          <w:rFonts w:hint="eastAsia" w:ascii="仿宋" w:hAnsi="仿宋" w:eastAsia="仿宋" w:cs="宋体"/>
          <w:color w:val="000000"/>
          <w:sz w:val="30"/>
          <w:szCs w:val="30"/>
        </w:rPr>
        <w:t>年本部门机关运行经费为</w:t>
      </w:r>
      <w:r>
        <w:rPr>
          <w:rFonts w:hint="eastAsia" w:ascii="仿宋" w:hAnsi="仿宋" w:eastAsia="仿宋" w:cs="宋体"/>
          <w:color w:val="000000"/>
          <w:sz w:val="30"/>
          <w:szCs w:val="30"/>
          <w:lang w:val="en-US" w:eastAsia="zh-CN"/>
        </w:rPr>
        <w:t>240.57</w:t>
      </w:r>
      <w:r>
        <w:rPr>
          <w:rFonts w:hint="eastAsia" w:ascii="仿宋" w:hAnsi="仿宋" w:eastAsia="仿宋" w:cs="仿宋"/>
          <w:color w:val="000000"/>
          <w:sz w:val="30"/>
          <w:szCs w:val="30"/>
        </w:rPr>
        <w:t>万元，</w:t>
      </w:r>
      <w:r>
        <w:rPr>
          <w:rFonts w:ascii="仿宋" w:hAnsi="仿宋" w:eastAsia="仿宋" w:cs="宋体"/>
          <w:color w:val="000000"/>
          <w:sz w:val="30"/>
          <w:szCs w:val="30"/>
        </w:rPr>
        <w:t>较上年预算安排</w:t>
      </w:r>
      <w:r>
        <w:rPr>
          <w:rFonts w:hint="eastAsia" w:ascii="仿宋" w:hAnsi="仿宋" w:eastAsia="仿宋" w:cs="宋体"/>
          <w:color w:val="000000"/>
          <w:sz w:val="30"/>
          <w:szCs w:val="30"/>
          <w:lang w:eastAsia="zh-CN"/>
        </w:rPr>
        <w:t>减少</w:t>
      </w:r>
      <w:r>
        <w:rPr>
          <w:rFonts w:hint="eastAsia" w:ascii="仿宋" w:hAnsi="仿宋" w:eastAsia="仿宋" w:cs="宋体"/>
          <w:color w:val="000000"/>
          <w:sz w:val="30"/>
          <w:szCs w:val="30"/>
          <w:lang w:val="en-US" w:eastAsia="zh-CN"/>
        </w:rPr>
        <w:t>159.52</w:t>
      </w:r>
      <w:r>
        <w:rPr>
          <w:rFonts w:hint="eastAsia" w:ascii="仿宋" w:hAnsi="仿宋" w:eastAsia="仿宋" w:cs="宋体"/>
          <w:color w:val="000000"/>
          <w:sz w:val="30"/>
          <w:szCs w:val="30"/>
        </w:rPr>
        <w:t>万元。主要原因是</w:t>
      </w:r>
      <w:r>
        <w:rPr>
          <w:rFonts w:hint="eastAsia" w:ascii="仿宋" w:hAnsi="仿宋" w:eastAsia="仿宋" w:cs="宋体"/>
          <w:color w:val="000000"/>
          <w:sz w:val="30"/>
          <w:szCs w:val="30"/>
          <w:lang w:eastAsia="zh-CN"/>
        </w:rPr>
        <w:t>厉行节约</w:t>
      </w:r>
      <w:r>
        <w:rPr>
          <w:rFonts w:hint="eastAsia" w:ascii="仿宋" w:hAnsi="仿宋" w:eastAsia="仿宋" w:cs="宋体"/>
          <w:color w:val="000000"/>
          <w:sz w:val="30"/>
          <w:szCs w:val="30"/>
        </w:rPr>
        <w:t>。</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lang w:val="en-US" w:eastAsia="zh-CN"/>
        </w:rPr>
      </w:pPr>
      <w:r>
        <w:rPr>
          <w:rFonts w:hint="eastAsia" w:ascii="楷体_GB2312" w:hAnsi="黑体" w:eastAsia="楷体_GB2312"/>
          <w:b/>
          <w:color w:val="auto"/>
          <w:sz w:val="32"/>
          <w:szCs w:val="32"/>
        </w:rPr>
        <w:t>（七）政府采购情况</w:t>
      </w:r>
      <w:r>
        <w:rPr>
          <w:rFonts w:hint="eastAsia" w:ascii="楷体_GB2312" w:hAnsi="黑体" w:eastAsia="楷体_GB2312"/>
          <w:b/>
          <w:color w:val="auto"/>
          <w:sz w:val="32"/>
          <w:szCs w:val="32"/>
          <w:lang w:val="en-US" w:eastAsia="zh-CN"/>
        </w:rPr>
        <w:t>说明</w:t>
      </w: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w:t>
      </w:r>
      <w:r>
        <w:rPr>
          <w:rFonts w:hint="eastAsia" w:ascii="仿宋_GB2312" w:hAnsi="黑体" w:eastAsia="仿宋_GB2312"/>
          <w:color w:val="auto"/>
          <w:sz w:val="32"/>
          <w:szCs w:val="32"/>
          <w:u w:val="none"/>
          <w:lang w:eastAsia="zh-CN"/>
        </w:rPr>
        <w:t>本</w:t>
      </w:r>
      <w:r>
        <w:rPr>
          <w:rFonts w:hint="eastAsia" w:ascii="仿宋_GB2312" w:hAnsi="黑体" w:eastAsia="仿宋_GB2312"/>
          <w:color w:val="auto"/>
          <w:sz w:val="32"/>
          <w:szCs w:val="32"/>
          <w:u w:val="none"/>
          <w:lang w:val="en-US" w:eastAsia="zh-CN"/>
        </w:rPr>
        <w:t>部门</w:t>
      </w:r>
      <w:r>
        <w:rPr>
          <w:rFonts w:hint="eastAsia" w:ascii="仿宋_GB2312" w:hAnsi="黑体" w:eastAsia="仿宋_GB2312"/>
          <w:color w:val="auto"/>
          <w:sz w:val="32"/>
          <w:szCs w:val="32"/>
          <w:u w:val="none"/>
        </w:rPr>
        <w:t>政府采购</w:t>
      </w:r>
      <w:r>
        <w:rPr>
          <w:rFonts w:hint="eastAsia" w:ascii="仿宋_GB2312" w:hAnsi="黑体" w:eastAsia="仿宋_GB2312"/>
          <w:color w:val="auto"/>
          <w:sz w:val="32"/>
          <w:szCs w:val="32"/>
          <w:u w:val="none"/>
          <w:lang w:val="en-US" w:eastAsia="zh-CN"/>
        </w:rPr>
        <w:t>预算共安排9</w:t>
      </w:r>
      <w:r>
        <w:rPr>
          <w:rFonts w:hint="eastAsia" w:ascii="仿宋_GB2312" w:hAnsi="黑体" w:eastAsia="仿宋_GB2312"/>
          <w:color w:val="auto"/>
          <w:sz w:val="32"/>
          <w:szCs w:val="32"/>
          <w:u w:val="none"/>
        </w:rPr>
        <w:t>万元，其中：货物预算</w:t>
      </w:r>
      <w:r>
        <w:rPr>
          <w:rFonts w:hint="eastAsia" w:ascii="仿宋_GB2312" w:hAnsi="黑体" w:eastAsia="仿宋_GB2312"/>
          <w:color w:val="auto"/>
          <w:sz w:val="32"/>
          <w:szCs w:val="32"/>
          <w:u w:val="none"/>
          <w:lang w:val="en-US" w:eastAsia="zh-CN"/>
        </w:rPr>
        <w:t>9</w:t>
      </w:r>
      <w:r>
        <w:rPr>
          <w:rFonts w:hint="eastAsia" w:ascii="仿宋_GB2312" w:hAnsi="黑体" w:eastAsia="仿宋_GB2312"/>
          <w:color w:val="auto"/>
          <w:sz w:val="32"/>
          <w:szCs w:val="32"/>
          <w:u w:val="none"/>
        </w:rPr>
        <w:t>万元， 工程预算</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万元， 服务预算</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万元。</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（八）国有资产占有使用情况</w:t>
      </w: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截至202</w:t>
      </w:r>
      <w:r>
        <w:rPr>
          <w:rFonts w:hint="eastAsia" w:ascii="仿宋_GB2312" w:hAnsi="黑体" w:eastAsia="仿宋_GB2312"/>
          <w:color w:val="auto"/>
          <w:sz w:val="32"/>
          <w:szCs w:val="32"/>
          <w:u w:val="none"/>
          <w:lang w:val="en-US" w:eastAsia="zh-CN"/>
        </w:rPr>
        <w:t>2</w:t>
      </w:r>
      <w:r>
        <w:rPr>
          <w:rFonts w:hint="eastAsia" w:ascii="仿宋_GB2312" w:hAnsi="黑体" w:eastAsia="仿宋_GB2312"/>
          <w:color w:val="auto"/>
          <w:sz w:val="32"/>
          <w:szCs w:val="32"/>
          <w:u w:val="none"/>
        </w:rPr>
        <w:t>年8月31日</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部门共有车辆</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辆，其中：一般公务用车</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辆，执法执勤用车</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w:t>
      </w:r>
    </w:p>
    <w:p>
      <w:pPr>
        <w:pStyle w:val="11"/>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lang w:val="en-US" w:eastAsia="zh-CN"/>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年部门预算安排购置车辆</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辆，安排购置单位价值200万元以上大型设备具体为</w:t>
      </w:r>
      <w:r>
        <w:rPr>
          <w:rFonts w:hint="eastAsia" w:ascii="仿宋_GB2312" w:hAnsi="黑体" w:eastAsia="仿宋_GB2312"/>
          <w:color w:val="auto"/>
          <w:sz w:val="32"/>
          <w:szCs w:val="32"/>
          <w:u w:val="none"/>
          <w:lang w:val="en-US" w:eastAsia="zh-CN"/>
        </w:rPr>
        <w:t>0万元。</w:t>
      </w:r>
    </w:p>
    <w:p>
      <w:pPr>
        <w:pStyle w:val="11"/>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（九）项目</w:t>
      </w:r>
      <w:r>
        <w:rPr>
          <w:rFonts w:hint="eastAsia" w:ascii="楷体_GB2312" w:hAnsi="黑体" w:eastAsia="楷体_GB2312"/>
          <w:b/>
          <w:color w:val="auto"/>
          <w:sz w:val="32"/>
          <w:szCs w:val="32"/>
          <w:lang w:val="en-US" w:eastAsia="zh-CN"/>
        </w:rPr>
        <w:t>绩效</w:t>
      </w:r>
      <w:r>
        <w:rPr>
          <w:rFonts w:hint="eastAsia" w:ascii="楷体_GB2312" w:hAnsi="黑体" w:eastAsia="楷体_GB2312"/>
          <w:b/>
          <w:color w:val="auto"/>
          <w:sz w:val="32"/>
          <w:szCs w:val="32"/>
        </w:rPr>
        <w:t>情况</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lang w:eastAsia="zh-CN"/>
        </w:rPr>
      </w:pPr>
      <w:r>
        <w:rPr>
          <w:rFonts w:hint="eastAsia" w:ascii="仿宋_GB2312" w:hAnsi="黑体" w:eastAsia="仿宋_GB2312"/>
          <w:b/>
          <w:color w:val="auto"/>
          <w:sz w:val="32"/>
          <w:szCs w:val="32"/>
        </w:rPr>
        <w:t>1.</w:t>
      </w:r>
      <w:r>
        <w:rPr>
          <w:rFonts w:hint="eastAsia" w:ascii="仿宋_GB2312" w:hAnsi="黑体" w:eastAsia="仿宋_GB2312"/>
          <w:b/>
          <w:color w:val="auto"/>
          <w:sz w:val="32"/>
          <w:szCs w:val="32"/>
          <w:lang w:eastAsia="zh-CN"/>
        </w:rPr>
        <w:t>道路清扫经费</w:t>
      </w:r>
      <w:r>
        <w:rPr>
          <w:rFonts w:hint="eastAsia" w:ascii="仿宋_GB2312" w:hAnsi="黑体" w:eastAsia="仿宋_GB2312"/>
          <w:b/>
          <w:color w:val="auto"/>
          <w:sz w:val="32"/>
          <w:szCs w:val="32"/>
        </w:rPr>
        <w:t>项目</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1）项目概述</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 w:hAnsi="仿宋" w:eastAsia="仿宋" w:cs="仿宋"/>
          <w:sz w:val="32"/>
          <w:szCs w:val="32"/>
          <w:lang w:eastAsia="zh-CN"/>
        </w:rPr>
        <w:t>该项目为了</w:t>
      </w:r>
      <w:r>
        <w:rPr>
          <w:rFonts w:hint="eastAsia" w:ascii="仿宋" w:hAnsi="仿宋" w:eastAsia="仿宋" w:cs="仿宋"/>
          <w:sz w:val="32"/>
          <w:szCs w:val="32"/>
        </w:rPr>
        <w:t>提高辖区公共服务水平，建设整治有序、文明和谐、生态宜居的城市环境，提高居民生活质量</w:t>
      </w:r>
      <w:r>
        <w:rPr>
          <w:rFonts w:hint="eastAsia" w:ascii="仿宋" w:hAnsi="仿宋" w:eastAsia="仿宋" w:cs="仿宋"/>
          <w:sz w:val="32"/>
          <w:szCs w:val="32"/>
          <w:lang w:eastAsia="zh-CN"/>
        </w:rPr>
        <w:t>。</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实施主体</w:t>
      </w:r>
      <w:r>
        <w:rPr>
          <w:rFonts w:hint="eastAsia" w:ascii="仿宋_GB2312" w:hAnsi="黑体" w:eastAsia="仿宋_GB2312"/>
          <w:color w:val="auto"/>
          <w:sz w:val="32"/>
          <w:szCs w:val="32"/>
          <w:lang w:eastAsia="zh-CN"/>
        </w:rPr>
        <w:t>：</w:t>
      </w:r>
    </w:p>
    <w:p>
      <w:pPr>
        <w:pStyle w:val="11"/>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该项目实施主体为东湖区贤士湖管理处。</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实施周期</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 xml:space="preserve"> 该项目实施周期为2023年1月1日至2023年12月31日。</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年度预算安排</w:t>
      </w:r>
      <w:r>
        <w:rPr>
          <w:rFonts w:hint="eastAsia" w:ascii="仿宋_GB2312" w:hAnsi="黑体" w:eastAsia="仿宋_GB2312"/>
          <w:color w:val="auto"/>
          <w:sz w:val="32"/>
          <w:szCs w:val="32"/>
          <w:lang w:eastAsia="zh-CN"/>
        </w:rPr>
        <w:t>：</w:t>
      </w:r>
    </w:p>
    <w:p>
      <w:pPr>
        <w:pStyle w:val="11"/>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该</w:t>
      </w:r>
      <w:r>
        <w:rPr>
          <w:rFonts w:hint="eastAsia" w:ascii="仿宋" w:hAnsi="仿宋" w:eastAsia="仿宋" w:cs="仿宋"/>
          <w:sz w:val="32"/>
          <w:szCs w:val="32"/>
        </w:rPr>
        <w:t>项目预算资金安排</w:t>
      </w:r>
      <w:r>
        <w:rPr>
          <w:rFonts w:hint="eastAsia" w:ascii="仿宋" w:hAnsi="仿宋" w:eastAsia="仿宋" w:cs="仿宋"/>
          <w:sz w:val="32"/>
          <w:szCs w:val="32"/>
          <w:lang w:val="en-US" w:eastAsia="zh-CN"/>
        </w:rPr>
        <w:t>58.97</w:t>
      </w:r>
      <w:r>
        <w:rPr>
          <w:rFonts w:hint="eastAsia" w:ascii="仿宋" w:hAnsi="仿宋" w:eastAsia="仿宋" w:cs="仿宋"/>
          <w:sz w:val="32"/>
          <w:szCs w:val="32"/>
        </w:rPr>
        <w:t>万元。</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5）绩效目标和指标</w:t>
      </w:r>
      <w:r>
        <w:rPr>
          <w:rFonts w:hint="eastAsia" w:ascii="仿宋_GB2312" w:hAnsi="黑体" w:eastAsia="仿宋_GB2312"/>
          <w:color w:val="auto"/>
          <w:sz w:val="32"/>
          <w:szCs w:val="32"/>
          <w:lang w:eastAsia="zh-CN"/>
        </w:rPr>
        <w:t>：（</w:t>
      </w:r>
      <w:r>
        <w:rPr>
          <w:rFonts w:hint="eastAsia" w:ascii="仿宋_GB2312" w:hAnsi="黑体" w:eastAsia="仿宋_GB2312"/>
          <w:color w:val="auto"/>
          <w:sz w:val="32"/>
          <w:szCs w:val="32"/>
          <w:lang w:val="en-US" w:eastAsia="zh-CN"/>
        </w:rPr>
        <w:t>以下指标简要说明</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数量指标：清扫路面覆盖率=234400平方米、道路清洗周均频次率≥2次、设施运行充足率≥2台。</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质量指标：垃圾处理及时率=100%、路面清扫超时率=100%。</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时效指标：完成及时率=100%。</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成本指标：清扫保洁人力成本=28.97万元、基础设施完善成本=30万元。</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社会效益指标：提高居民生活舒适率≥80%、基础设施改善得到明显提高。</w:t>
      </w:r>
    </w:p>
    <w:p>
      <w:pPr>
        <w:pStyle w:val="11"/>
        <w:widowControl w:val="0"/>
        <w:kinsoku/>
        <w:topLinePunct/>
        <w:autoSpaceDE/>
        <w:autoSpaceDN/>
        <w:spacing w:line="560" w:lineRule="exact"/>
        <w:ind w:firstLine="1280" w:firstLineChars="40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满意度指标：辖区居民满意度≥80%。</w:t>
      </w:r>
    </w:p>
    <w:p>
      <w:pPr>
        <w:pStyle w:val="11"/>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lang w:eastAsia="zh-CN"/>
        </w:rPr>
      </w:pPr>
      <w:r>
        <w:rPr>
          <w:rFonts w:hint="eastAsia" w:ascii="仿宋_GB2312" w:hAnsi="黑体" w:eastAsia="仿宋_GB2312"/>
          <w:b/>
          <w:color w:val="auto"/>
          <w:sz w:val="32"/>
          <w:szCs w:val="32"/>
          <w:lang w:val="en-US" w:eastAsia="zh-CN"/>
        </w:rPr>
        <w:t>2</w:t>
      </w:r>
      <w:r>
        <w:rPr>
          <w:rFonts w:hint="eastAsia" w:ascii="仿宋_GB2312" w:hAnsi="黑体" w:eastAsia="仿宋_GB2312"/>
          <w:b/>
          <w:color w:val="auto"/>
          <w:sz w:val="32"/>
          <w:szCs w:val="32"/>
        </w:rPr>
        <w:t>.</w:t>
      </w:r>
      <w:r>
        <w:rPr>
          <w:rFonts w:hint="eastAsia" w:ascii="仿宋_GB2312" w:hAnsi="黑体" w:eastAsia="仿宋_GB2312"/>
          <w:b/>
          <w:color w:val="auto"/>
          <w:sz w:val="32"/>
          <w:szCs w:val="32"/>
          <w:lang w:eastAsia="zh-CN"/>
        </w:rPr>
        <w:t>管理处事务工作经费</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1）项目概述</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sz w:val="32"/>
          <w:szCs w:val="32"/>
          <w:lang w:eastAsia="zh-CN"/>
        </w:rPr>
        <w:t>该项目为了</w:t>
      </w:r>
      <w:r>
        <w:rPr>
          <w:rFonts w:hint="eastAsia" w:ascii="仿宋" w:hAnsi="仿宋" w:eastAsia="仿宋" w:cs="仿宋"/>
          <w:sz w:val="32"/>
          <w:szCs w:val="32"/>
        </w:rPr>
        <w:t>保障贤士湖管理处正常运转，促进贤士湖管理处事务更好更快进行。</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实施主体</w:t>
      </w:r>
      <w:r>
        <w:rPr>
          <w:rFonts w:hint="eastAsia" w:ascii="仿宋_GB2312" w:hAnsi="黑体" w:eastAsia="仿宋_GB2312"/>
          <w:color w:val="auto"/>
          <w:sz w:val="32"/>
          <w:szCs w:val="32"/>
          <w:lang w:eastAsia="zh-CN"/>
        </w:rPr>
        <w:t>：</w:t>
      </w:r>
    </w:p>
    <w:p>
      <w:pPr>
        <w:pStyle w:val="11"/>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该项目实施主体为东湖区贤士湖管理处。</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实施周期</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 xml:space="preserve"> 该项目实施周期为2023年1月1日至2023年12月31日。</w:t>
      </w:r>
    </w:p>
    <w:p>
      <w:pPr>
        <w:pStyle w:val="11"/>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年度预算安排</w:t>
      </w:r>
      <w:r>
        <w:rPr>
          <w:rFonts w:hint="eastAsia" w:ascii="仿宋_GB2312" w:hAnsi="黑体" w:eastAsia="仿宋_GB2312"/>
          <w:color w:val="auto"/>
          <w:sz w:val="32"/>
          <w:szCs w:val="32"/>
          <w:lang w:eastAsia="zh-CN"/>
        </w:rPr>
        <w:t>：</w:t>
      </w:r>
    </w:p>
    <w:p>
      <w:pPr>
        <w:pStyle w:val="11"/>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该</w:t>
      </w:r>
      <w:r>
        <w:rPr>
          <w:rFonts w:hint="eastAsia" w:ascii="仿宋" w:hAnsi="仿宋" w:eastAsia="仿宋" w:cs="仿宋"/>
          <w:sz w:val="32"/>
          <w:szCs w:val="32"/>
        </w:rPr>
        <w:t>项目预算资金安排</w:t>
      </w:r>
      <w:r>
        <w:rPr>
          <w:rFonts w:hint="eastAsia" w:ascii="仿宋" w:hAnsi="仿宋" w:eastAsia="仿宋" w:cs="仿宋"/>
          <w:sz w:val="32"/>
          <w:szCs w:val="32"/>
          <w:lang w:val="en-US" w:eastAsia="zh-CN"/>
        </w:rPr>
        <w:t>64.50</w:t>
      </w:r>
      <w:r>
        <w:rPr>
          <w:rFonts w:hint="eastAsia" w:ascii="仿宋" w:hAnsi="仿宋" w:eastAsia="仿宋" w:cs="仿宋"/>
          <w:sz w:val="32"/>
          <w:szCs w:val="32"/>
        </w:rPr>
        <w:t>万元。</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5）绩效目标和指标</w:t>
      </w:r>
      <w:r>
        <w:rPr>
          <w:rFonts w:hint="eastAsia" w:ascii="仿宋_GB2312" w:hAnsi="黑体" w:eastAsia="仿宋_GB2312"/>
          <w:color w:val="auto"/>
          <w:sz w:val="32"/>
          <w:szCs w:val="32"/>
          <w:lang w:eastAsia="zh-CN"/>
        </w:rPr>
        <w:t>：（</w:t>
      </w:r>
      <w:r>
        <w:rPr>
          <w:rFonts w:hint="eastAsia" w:ascii="仿宋_GB2312" w:hAnsi="黑体" w:eastAsia="仿宋_GB2312"/>
          <w:color w:val="auto"/>
          <w:sz w:val="32"/>
          <w:szCs w:val="32"/>
          <w:lang w:val="en-US" w:eastAsia="zh-CN"/>
        </w:rPr>
        <w:t>以下指标简要说明</w:t>
      </w:r>
      <w:r>
        <w:rPr>
          <w:rFonts w:hint="eastAsia" w:ascii="仿宋_GB2312" w:hAnsi="黑体" w:eastAsia="仿宋_GB2312"/>
          <w:color w:val="auto"/>
          <w:sz w:val="32"/>
          <w:szCs w:val="32"/>
          <w:lang w:eastAsia="zh-CN"/>
        </w:rPr>
        <w:t>）</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数量指标：圆满完成完成贤士湖管理处事务数量</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质量指标：完成质量完好。</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时效指标：12月底前完成。</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成本指标：成本控制率达到100%。</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社会效益指标：促进贤士湖事务工作效率大幅度提高，带动贤士湖经济更上新台阶。</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满意度指标：群众满意度≥95%。</w:t>
      </w:r>
    </w:p>
    <w:p>
      <w:pPr>
        <w:pStyle w:val="11"/>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二、“三公”经费预算情况说明</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w:t>
      </w:r>
      <w:r>
        <w:rPr>
          <w:rFonts w:hint="eastAsia" w:ascii="仿宋_GB2312" w:hAnsi="黑体" w:eastAsia="仿宋_GB2312"/>
          <w:color w:val="auto"/>
          <w:sz w:val="32"/>
          <w:szCs w:val="32"/>
          <w:u w:val="none"/>
          <w:lang w:val="en-US" w:eastAsia="zh-CN"/>
        </w:rPr>
        <w:t>本部门</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三公</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经费</w:t>
      </w:r>
      <w:r>
        <w:rPr>
          <w:rFonts w:hint="eastAsia" w:ascii="仿宋_GB2312" w:hAnsi="黑体" w:eastAsia="仿宋_GB2312"/>
          <w:color w:val="auto"/>
          <w:sz w:val="32"/>
          <w:szCs w:val="32"/>
          <w:u w:val="none"/>
          <w:lang w:val="en-US" w:eastAsia="zh-CN"/>
        </w:rPr>
        <w:t>年初</w:t>
      </w:r>
      <w:r>
        <w:rPr>
          <w:rFonts w:hint="eastAsia" w:ascii="仿宋_GB2312" w:hAnsi="黑体" w:eastAsia="仿宋_GB2312"/>
          <w:color w:val="auto"/>
          <w:sz w:val="32"/>
          <w:szCs w:val="32"/>
          <w:u w:val="none"/>
        </w:rPr>
        <w:t>预算安排</w:t>
      </w:r>
      <w:r>
        <w:rPr>
          <w:rFonts w:hint="eastAsia" w:ascii="仿宋_GB2312" w:hAnsi="黑体" w:eastAsia="仿宋_GB2312"/>
          <w:color w:val="auto"/>
          <w:sz w:val="32"/>
          <w:szCs w:val="32"/>
          <w:u w:val="none"/>
          <w:lang w:val="en-US" w:eastAsia="zh-CN"/>
        </w:rPr>
        <w:t>6.5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其中：</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1.</w:t>
      </w:r>
      <w:r>
        <w:rPr>
          <w:rFonts w:hint="eastAsia" w:ascii="仿宋_GB2312" w:hAnsi="黑体" w:eastAsia="仿宋_GB2312"/>
          <w:color w:val="auto"/>
          <w:sz w:val="32"/>
          <w:szCs w:val="32"/>
          <w:u w:val="none"/>
        </w:rPr>
        <w:t>因公出国</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经费0</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2.</w:t>
      </w:r>
      <w:r>
        <w:rPr>
          <w:rFonts w:hint="eastAsia" w:ascii="仿宋_GB2312" w:hAnsi="黑体" w:eastAsia="仿宋_GB2312"/>
          <w:color w:val="auto"/>
          <w:sz w:val="32"/>
          <w:szCs w:val="32"/>
          <w:u w:val="none"/>
        </w:rPr>
        <w:t>公务接待</w:t>
      </w:r>
      <w:r>
        <w:rPr>
          <w:rFonts w:hint="eastAsia" w:ascii="仿宋_GB2312" w:hAnsi="黑体" w:eastAsia="仿宋_GB2312"/>
          <w:color w:val="auto"/>
          <w:sz w:val="32"/>
          <w:szCs w:val="32"/>
          <w:u w:val="none"/>
          <w:lang w:val="en-US" w:eastAsia="zh-CN"/>
        </w:rPr>
        <w:t>费6.5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公务用车运行</w:t>
      </w:r>
      <w:r>
        <w:rPr>
          <w:rFonts w:hint="eastAsia" w:ascii="仿宋_GB2312" w:hAnsi="黑体" w:eastAsia="仿宋_GB2312"/>
          <w:color w:val="auto"/>
          <w:sz w:val="32"/>
          <w:szCs w:val="32"/>
          <w:u w:val="none"/>
          <w:lang w:val="en-US" w:eastAsia="zh-CN"/>
        </w:rPr>
        <w:t>维护费0</w:t>
      </w:r>
      <w:r>
        <w:rPr>
          <w:rFonts w:hint="eastAsia" w:ascii="仿宋_GB2312" w:hAnsi="黑体" w:eastAsia="仿宋_GB2312"/>
          <w:color w:val="auto"/>
          <w:sz w:val="32"/>
          <w:szCs w:val="32"/>
          <w:u w:val="none"/>
        </w:rPr>
        <w:t>万元，比上年减</w:t>
      </w:r>
      <w:r>
        <w:rPr>
          <w:rFonts w:hint="eastAsia" w:ascii="仿宋_GB2312" w:hAnsi="黑体" w:eastAsia="仿宋_GB2312"/>
          <w:color w:val="auto"/>
          <w:sz w:val="32"/>
          <w:szCs w:val="32"/>
          <w:u w:val="none"/>
          <w:lang w:val="en-US" w:eastAsia="zh-CN"/>
        </w:rPr>
        <w:t>少3.5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减</w:t>
      </w:r>
      <w:r>
        <w:rPr>
          <w:rFonts w:hint="eastAsia" w:ascii="仿宋_GB2312" w:hAnsi="黑体" w:eastAsia="仿宋_GB2312"/>
          <w:color w:val="auto"/>
          <w:sz w:val="32"/>
          <w:szCs w:val="32"/>
          <w:u w:val="none"/>
          <w:lang w:val="en-US" w:eastAsia="zh-CN"/>
        </w:rPr>
        <w:t>少的</w:t>
      </w:r>
      <w:r>
        <w:rPr>
          <w:rFonts w:hint="eastAsia" w:ascii="仿宋_GB2312" w:hAnsi="黑体" w:eastAsia="仿宋_GB2312"/>
          <w:color w:val="auto"/>
          <w:sz w:val="32"/>
          <w:szCs w:val="32"/>
          <w:u w:val="none"/>
        </w:rPr>
        <w:t>原因</w:t>
      </w:r>
      <w:r>
        <w:rPr>
          <w:rFonts w:hint="eastAsia" w:ascii="仿宋_GB2312" w:hAnsi="黑体" w:eastAsia="仿宋_GB2312"/>
          <w:color w:val="auto"/>
          <w:sz w:val="32"/>
          <w:szCs w:val="32"/>
          <w:u w:val="none"/>
          <w:lang w:val="en-US" w:eastAsia="zh-CN"/>
        </w:rPr>
        <w:t>主要</w:t>
      </w:r>
      <w:r>
        <w:rPr>
          <w:rFonts w:hint="eastAsia" w:ascii="仿宋_GB2312" w:hAnsi="黑体" w:eastAsia="仿宋_GB2312"/>
          <w:color w:val="auto"/>
          <w:sz w:val="32"/>
          <w:szCs w:val="32"/>
          <w:u w:val="none"/>
        </w:rPr>
        <w:t>是：</w:t>
      </w:r>
      <w:r>
        <w:rPr>
          <w:rFonts w:hint="eastAsia" w:ascii="仿宋_GB2312" w:hAnsi="黑体" w:eastAsia="仿宋_GB2312"/>
          <w:color w:val="auto"/>
          <w:sz w:val="32"/>
          <w:szCs w:val="32"/>
          <w:u w:val="none"/>
          <w:lang w:eastAsia="zh-CN"/>
        </w:rPr>
        <w:t>减少公务用车运行费</w:t>
      </w:r>
      <w:r>
        <w:rPr>
          <w:rFonts w:hint="eastAsia" w:ascii="仿宋_GB2312" w:hAnsi="黑体" w:eastAsia="仿宋_GB2312"/>
          <w:color w:val="auto"/>
          <w:sz w:val="32"/>
          <w:szCs w:val="32"/>
          <w:u w:val="none"/>
        </w:rPr>
        <w:t>。</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4.</w:t>
      </w:r>
      <w:r>
        <w:rPr>
          <w:rFonts w:hint="eastAsia" w:ascii="仿宋_GB2312" w:hAnsi="黑体" w:eastAsia="仿宋_GB2312"/>
          <w:color w:val="auto"/>
          <w:sz w:val="32"/>
          <w:szCs w:val="32"/>
          <w:u w:val="none"/>
        </w:rPr>
        <w:t>公务用车购置</w:t>
      </w:r>
      <w:r>
        <w:rPr>
          <w:rFonts w:hint="eastAsia" w:ascii="仿宋_GB2312" w:hAnsi="黑体" w:eastAsia="仿宋_GB2312"/>
          <w:color w:val="auto"/>
          <w:sz w:val="32"/>
          <w:szCs w:val="32"/>
          <w:u w:val="none"/>
          <w:lang w:val="en-US" w:eastAsia="zh-CN"/>
        </w:rPr>
        <w:t>费0</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三</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年部门预算表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一、《收支预算总表》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二、《部门收入总表》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三、《部门支出总表》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四、《财政拨款收支总表》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五、《一般公共预算支出表》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六、《一般公共预算基本支出表》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七、《一般公共预算“三公”经费支出表》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八、《政府性基金预算支出表》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九、《国有资本经营预算支出表》</w:t>
      </w:r>
      <w:r>
        <w:rPr>
          <w:rFonts w:hint="eastAsia" w:ascii="仿宋_GB2312" w:hAnsi="黑体" w:eastAsia="仿宋_GB2312"/>
          <w:color w:val="auto"/>
          <w:sz w:val="32"/>
          <w:szCs w:val="32"/>
        </w:rPr>
        <w:tab/>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十、《项目</w:t>
      </w:r>
      <w:r>
        <w:rPr>
          <w:rFonts w:hint="eastAsia" w:ascii="仿宋_GB2312" w:hAnsi="黑体" w:eastAsia="仿宋_GB2312"/>
          <w:color w:val="auto"/>
          <w:sz w:val="32"/>
          <w:szCs w:val="32"/>
          <w:lang w:val="en-US" w:eastAsia="zh-CN"/>
        </w:rPr>
        <w:t>支出</w:t>
      </w:r>
      <w:r>
        <w:rPr>
          <w:rFonts w:hint="eastAsia" w:ascii="仿宋_GB2312" w:hAnsi="黑体" w:eastAsia="仿宋_GB2312"/>
          <w:color w:val="auto"/>
          <w:sz w:val="32"/>
          <w:szCs w:val="32"/>
        </w:rPr>
        <w:t>绩效目标表》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十</w:t>
      </w:r>
      <w:r>
        <w:rPr>
          <w:rFonts w:hint="eastAsia" w:ascii="仿宋_GB2312" w:hAnsi="黑体" w:eastAsia="仿宋_GB2312"/>
          <w:color w:val="auto"/>
          <w:sz w:val="32"/>
          <w:szCs w:val="32"/>
          <w:lang w:val="en-US" w:eastAsia="zh-CN"/>
        </w:rPr>
        <w:t>一</w:t>
      </w:r>
      <w:r>
        <w:rPr>
          <w:rFonts w:hint="eastAsia" w:ascii="仿宋_GB2312" w:hAnsi="黑体" w:eastAsia="仿宋_GB2312"/>
          <w:color w:val="auto"/>
          <w:sz w:val="32"/>
          <w:szCs w:val="32"/>
        </w:rPr>
        <w:t>、《部门整体支出绩效目标表》</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 xml:space="preserve"> （注：①由于本说明中数据四舍五入原因，部分汇总数据数据与分项加总之和可能存在尾差；②表格详见附件，若其中某张表为空表或表中数据为0，则说明没有相关收支预算安排。）</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lang w:val="en-US" w:eastAsia="zh-CN"/>
        </w:rPr>
      </w:pP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第四部分   名词解释</w:t>
      </w:r>
    </w:p>
    <w:p>
      <w:pPr>
        <w:pStyle w:val="11"/>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黑体" w:hAnsi="黑体" w:eastAsia="黑体"/>
          <w:color w:val="auto"/>
          <w:sz w:val="32"/>
          <w:szCs w:val="32"/>
        </w:rPr>
        <w:t>一、收入科目</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（一）财政拨款：</w:t>
      </w:r>
      <w:r>
        <w:rPr>
          <w:rFonts w:hint="eastAsia" w:ascii="仿宋_GB2312" w:hAnsi="黑体" w:eastAsia="仿宋_GB2312"/>
          <w:color w:val="auto"/>
          <w:sz w:val="32"/>
          <w:szCs w:val="32"/>
        </w:rPr>
        <w:t>指区级财政当年拨付的资金。</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（二）教育收费资金收入：</w:t>
      </w:r>
      <w:r>
        <w:rPr>
          <w:rFonts w:hint="eastAsia" w:ascii="仿宋_GB2312" w:hAnsi="黑体" w:eastAsia="仿宋_GB2312"/>
          <w:color w:val="auto"/>
          <w:sz w:val="32"/>
          <w:szCs w:val="32"/>
        </w:rPr>
        <w:t>反映实行专项管理的高中以上学费、住宿费，高校委托培养费，函大、电大、夜大及短训班培训费等教育收费取得的收入。</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（三）事业收入：</w:t>
      </w:r>
      <w:r>
        <w:rPr>
          <w:rFonts w:hint="eastAsia" w:ascii="仿宋_GB2312" w:hAnsi="黑体" w:eastAsia="仿宋_GB2312"/>
          <w:color w:val="auto"/>
          <w:sz w:val="32"/>
          <w:szCs w:val="32"/>
        </w:rPr>
        <w:t>指事业单位开展专业业务活动及辅助活动取得的收入。</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（四）事业单位经营收入：</w:t>
      </w:r>
      <w:r>
        <w:rPr>
          <w:rFonts w:hint="eastAsia" w:ascii="仿宋_GB2312" w:hAnsi="黑体" w:eastAsia="仿宋_GB2312"/>
          <w:color w:val="auto"/>
          <w:sz w:val="32"/>
          <w:szCs w:val="32"/>
        </w:rPr>
        <w:t>指事业单位在专业业务活动及辅助活动之外开展非独立核算经营活动取得的收入。</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（五）附属单位上缴收入：</w:t>
      </w:r>
      <w:r>
        <w:rPr>
          <w:rFonts w:hint="eastAsia" w:ascii="仿宋_GB2312" w:hAnsi="黑体" w:eastAsia="仿宋_GB2312"/>
          <w:color w:val="auto"/>
          <w:sz w:val="32"/>
          <w:szCs w:val="32"/>
        </w:rPr>
        <w:t>反映事业单位附属的独立核算单位按规定标准或比例缴纳的各项收入。包括附属的事业单位上缴的收入和附属的企业上缴的利润等。</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（六）上级补助收入：</w:t>
      </w:r>
      <w:r>
        <w:rPr>
          <w:rFonts w:hint="eastAsia" w:ascii="仿宋_GB2312" w:hAnsi="黑体" w:eastAsia="仿宋_GB2312"/>
          <w:color w:val="auto"/>
          <w:sz w:val="32"/>
          <w:szCs w:val="32"/>
        </w:rPr>
        <w:t>反映事业单位从主管部门和上级单位取得的非财政补助收入。</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（七）其他收入</w:t>
      </w:r>
      <w:r>
        <w:rPr>
          <w:rFonts w:hint="eastAsia" w:ascii="仿宋_GB2312" w:hAnsi="黑体" w:eastAsia="仿宋_GB2312"/>
          <w:color w:val="auto"/>
          <w:sz w:val="32"/>
          <w:szCs w:val="32"/>
        </w:rPr>
        <w:t>：指除财政拨款、事业收入、事业单位经营收入等以外的各项收入。</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（八）使用非财政拨款结余：</w:t>
      </w:r>
      <w:r>
        <w:rPr>
          <w:rFonts w:hint="eastAsia" w:ascii="仿宋_GB2312" w:hAnsi="黑体" w:eastAsia="仿宋_GB2312"/>
          <w:color w:val="auto"/>
          <w:sz w:val="32"/>
          <w:szCs w:val="32"/>
        </w:rPr>
        <w:t>填列历年滚存的非限定用途的非统计财政拨款结余弥补202</w:t>
      </w:r>
      <w:r>
        <w:rPr>
          <w:rFonts w:hint="eastAsia" w:ascii="仿宋_GB2312" w:hAnsi="黑体" w:eastAsia="仿宋_GB2312"/>
          <w:color w:val="auto"/>
          <w:sz w:val="32"/>
          <w:szCs w:val="32"/>
          <w:lang w:val="en-US" w:eastAsia="zh-CN"/>
        </w:rPr>
        <w:t>3</w:t>
      </w:r>
      <w:r>
        <w:rPr>
          <w:rFonts w:hint="eastAsia" w:ascii="仿宋_GB2312" w:hAnsi="黑体" w:eastAsia="仿宋_GB2312"/>
          <w:color w:val="auto"/>
          <w:sz w:val="32"/>
          <w:szCs w:val="32"/>
        </w:rPr>
        <w:t>年收支差额的数额。</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（九）上年结转和结余：</w:t>
      </w:r>
      <w:r>
        <w:rPr>
          <w:rFonts w:hint="eastAsia" w:ascii="仿宋_GB2312" w:hAnsi="黑体" w:eastAsia="仿宋_GB2312"/>
          <w:color w:val="auto"/>
          <w:sz w:val="32"/>
          <w:szCs w:val="32"/>
        </w:rPr>
        <w:t>填列202</w:t>
      </w:r>
      <w:r>
        <w:rPr>
          <w:rFonts w:hint="eastAsia" w:ascii="仿宋_GB2312" w:hAnsi="黑体" w:eastAsia="仿宋_GB2312"/>
          <w:color w:val="auto"/>
          <w:sz w:val="32"/>
          <w:szCs w:val="32"/>
          <w:lang w:val="en-US" w:eastAsia="zh-CN"/>
        </w:rPr>
        <w:t>2</w:t>
      </w:r>
      <w:r>
        <w:rPr>
          <w:rFonts w:hint="eastAsia" w:ascii="仿宋_GB2312" w:hAnsi="黑体" w:eastAsia="仿宋_GB2312"/>
          <w:color w:val="auto"/>
          <w:sz w:val="32"/>
          <w:szCs w:val="32"/>
        </w:rPr>
        <w:t>年全部结转和结余的资金数，包括当年结转结余资金和历年滚存结转结余资金。</w:t>
      </w:r>
    </w:p>
    <w:p>
      <w:pPr>
        <w:pStyle w:val="11"/>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二、支出科目</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1、一般公共服务（类）群众团体事务（款）行政运行（项）：反映行政单位（包括实行公务员管理的事业单位）的基本支出。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2、一般公共服务（类）群众团体事务（款）一般行政管理事务（项）：反映行政单位（包括实行公务员管理的事业单位）未单独设置项级科目的其他项目支出。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3、社会保障和就业（类）行政事业单位离退休（款）未归口管理的行政单位离退休（项）：反映未实行归口管理的行政单位（包括实行公务员管理的事业单位）开支的离退休支出；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4、社会保障和就业（类）行政事业单位离退休（款）机关事业单位基本养老保险缴费支出（项）：反映机关事业单位实施养老保险制度由单位缴纳的基本养老保险费支出。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5、社会保障和就业（类）行政事业单位离退休（款）：机关事业单位职业年金缴费支出（项）：反映机关事业单位实施养老保险制度由单位实际缴纳的职业年金支出。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6、住房保障支出（类）住房改革支出（款）住房公积金（项）：反映行政事业单位按人力资源和社会保障部、财政部规定的基本工资和津贴补贴以及规定比例为职工缴纳的住房公积金；</w:t>
      </w:r>
    </w:p>
    <w:p>
      <w:pPr>
        <w:keepNext w:val="0"/>
        <w:keepLines w:val="0"/>
        <w:pageBreakBefore w:val="0"/>
        <w:wordWrap/>
        <w:overflowPunct/>
        <w:bidi w:val="0"/>
        <w:adjustRightInd w:val="0"/>
        <w:snapToGrid w:val="0"/>
        <w:spacing w:line="360" w:lineRule="auto"/>
        <w:ind w:firstLine="640" w:firstLineChars="200"/>
        <w:textAlignment w:val="baseline"/>
      </w:pPr>
      <w:r>
        <w:rPr>
          <w:rFonts w:hint="eastAsia" w:ascii="仿宋_GB2312" w:eastAsia="仿宋_GB2312"/>
          <w:sz w:val="32"/>
          <w:szCs w:val="32"/>
          <w:lang w:val="en-US" w:eastAsia="zh-CN"/>
        </w:rPr>
        <w:t>7</w:t>
      </w:r>
      <w:r>
        <w:rPr>
          <w:rFonts w:hint="eastAsia" w:ascii="仿宋_GB2312" w:eastAsia="仿宋_GB2312"/>
          <w:sz w:val="32"/>
          <w:szCs w:val="32"/>
        </w:rPr>
        <w:t>、城乡社区支出（类）国土使用权出让收入及对应专项债务收入安排的支出（款）其他国有土地使用权出让收入安排的支出（项）：反映由相关单位拨入的专项经费。</w:t>
      </w:r>
    </w:p>
    <w:p>
      <w:pPr>
        <w:widowControl w:val="0"/>
        <w:kinsoku/>
        <w:topLinePunct/>
        <w:autoSpaceDE/>
        <w:autoSpaceDN/>
        <w:spacing w:line="203" w:lineRule="auto"/>
        <w:rPr>
          <w:rFonts w:hint="eastAsia" w:ascii="黑体" w:hAnsi="黑体" w:eastAsia="黑体" w:cs="黑体"/>
          <w:color w:val="auto"/>
          <w:sz w:val="22"/>
          <w:szCs w:val="22"/>
          <w:lang w:val="en-US" w:eastAsia="zh-CN"/>
        </w:rPr>
      </w:pPr>
      <w:r>
        <w:rPr>
          <w:rFonts w:hint="eastAsia" w:ascii="黑体" w:hAnsi="黑体" w:eastAsia="黑体" w:cs="黑体"/>
          <w:color w:val="auto"/>
          <w:sz w:val="22"/>
          <w:szCs w:val="22"/>
          <w:lang w:val="en-US" w:eastAsia="zh-CN"/>
        </w:rPr>
        <w:t xml:space="preserve"> </w:t>
      </w: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pStyle w:val="2"/>
        <w:rPr>
          <w:rFonts w:hint="eastAsia" w:ascii="黑体" w:hAnsi="黑体" w:eastAsia="黑体" w:cs="黑体"/>
          <w:color w:val="auto"/>
          <w:sz w:val="22"/>
          <w:szCs w:val="22"/>
          <w:lang w:val="en-US" w:eastAsia="zh-CN"/>
        </w:rPr>
      </w:pPr>
    </w:p>
    <w:p>
      <w:pPr>
        <w:pStyle w:val="2"/>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rPr>
          <w:rFonts w:hint="eastAsia" w:ascii="黑体" w:hAnsi="黑体" w:eastAsia="黑体" w:cs="黑体"/>
          <w:color w:val="auto"/>
          <w:sz w:val="22"/>
          <w:szCs w:val="22"/>
          <w:lang w:val="en-US" w:eastAsia="zh-CN"/>
        </w:rPr>
      </w:pPr>
      <w:r>
        <w:rPr>
          <w:rFonts w:hint="eastAsia" w:ascii="黑体" w:hAnsi="黑体" w:eastAsia="黑体" w:cs="黑体"/>
          <w:color w:val="auto"/>
          <w:sz w:val="22"/>
          <w:szCs w:val="22"/>
          <w:lang w:val="en-US" w:eastAsia="zh-CN"/>
        </w:rPr>
        <w:br w:type="page"/>
      </w:r>
    </w:p>
    <w:p>
      <w:pPr>
        <w:pStyle w:val="2"/>
        <w:rPr>
          <w:rFonts w:hint="eastAsia"/>
          <w:lang w:val="en-US" w:eastAsia="zh-CN"/>
        </w:rPr>
        <w:sectPr>
          <w:headerReference r:id="rId3" w:type="default"/>
          <w:footerReference r:id="rId4" w:type="default"/>
          <w:footerReference r:id="rId5" w:type="even"/>
          <w:pgSz w:w="11910" w:h="16850"/>
          <w:pgMar w:top="1418" w:right="1418" w:bottom="1418" w:left="1418" w:header="851" w:footer="992" w:gutter="0"/>
          <w:pgNumType w:fmt="numberInDash"/>
          <w:cols w:space="720" w:num="1"/>
          <w:docGrid w:linePitch="286" w:charSpace="0"/>
        </w:sect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ascii="黑体" w:hAnsi="黑体" w:eastAsia="黑体" w:cs="黑体"/>
          <w:color w:val="auto"/>
          <w:sz w:val="22"/>
          <w:szCs w:val="22"/>
        </w:rPr>
      </w:pPr>
      <w:r>
        <w:rPr>
          <w:rFonts w:ascii="黑体" w:hAnsi="黑体" w:eastAsia="黑体" w:cs="黑体"/>
          <w:color w:val="auto"/>
          <w:sz w:val="21"/>
          <w:szCs w:val="21"/>
        </w:rPr>
        <w:t>附件2-1</w:t>
      </w:r>
      <w:r>
        <w:rPr>
          <w:rFonts w:ascii="黑体" w:hAnsi="黑体" w:eastAsia="黑体" w:cs="黑体"/>
          <w:color w:val="auto"/>
          <w:sz w:val="22"/>
          <w:szCs w:val="22"/>
        </w:rPr>
        <w:t>：</w:t>
      </w:r>
    </w:p>
    <w:p>
      <w:pPr>
        <w:widowControl w:val="0"/>
        <w:kinsoku/>
        <w:topLinePunct/>
        <w:autoSpaceDE/>
        <w:autoSpaceDN/>
        <w:spacing w:line="203" w:lineRule="auto"/>
        <w:jc w:val="center"/>
        <w:rPr>
          <w:rFonts w:hint="eastAsia" w:ascii="方正小标宋简体" w:hAnsi="黑体" w:eastAsia="方正小标宋简体" w:cs="黑体"/>
          <w:color w:val="auto"/>
          <w:sz w:val="36"/>
          <w:szCs w:val="36"/>
        </w:rPr>
      </w:pPr>
      <w:r>
        <w:rPr>
          <w:rFonts w:hint="eastAsia" w:ascii="方正小标宋简体" w:hAnsi="宋体" w:eastAsia="方正小标宋简体" w:cs="宋体"/>
          <w:color w:val="auto"/>
          <w:sz w:val="36"/>
          <w:szCs w:val="36"/>
        </w:rPr>
        <w:t>收支预算总表</w:t>
      </w:r>
    </w:p>
    <w:p>
      <w:pPr>
        <w:widowControl w:val="0"/>
        <w:kinsoku/>
        <w:topLinePunct/>
        <w:autoSpaceDE/>
        <w:autoSpaceDN/>
        <w:spacing w:line="203" w:lineRule="auto"/>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lang w:eastAsia="zh-CN"/>
        </w:rPr>
        <w:t>东湖区贤士湖管理处</w:t>
      </w:r>
      <w:r>
        <w:rPr>
          <w:rFonts w:hint="eastAsia" w:ascii="黑体" w:hAnsi="黑体" w:eastAsia="黑体" w:cs="黑体"/>
          <w:color w:val="auto"/>
        </w:rPr>
        <w:t xml:space="preserve">                                                                                             </w:t>
      </w:r>
      <w:r>
        <w:rPr>
          <w:rFonts w:ascii="黑体" w:hAnsi="黑体" w:eastAsia="黑体" w:cs="黑体"/>
          <w:color w:val="auto"/>
        </w:rPr>
        <w:t>单位：万元</w:t>
      </w:r>
    </w:p>
    <w:p>
      <w:pPr>
        <w:widowControl w:val="0"/>
        <w:tabs>
          <w:tab w:val="left" w:pos="10915"/>
        </w:tabs>
        <w:kinsoku/>
        <w:topLinePunct/>
        <w:autoSpaceDE/>
        <w:autoSpaceDN/>
        <w:spacing w:line="31" w:lineRule="exact"/>
        <w:rPr>
          <w:color w:val="auto"/>
        </w:rPr>
      </w:pPr>
    </w:p>
    <w:tbl>
      <w:tblPr>
        <w:tblStyle w:val="10"/>
        <w:tblW w:w="141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63"/>
        <w:gridCol w:w="843"/>
        <w:gridCol w:w="2458"/>
        <w:gridCol w:w="5103"/>
        <w:gridCol w:w="22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收</w:t>
            </w:r>
          </w:p>
        </w:tc>
        <w:tc>
          <w:tcPr>
            <w:tcW w:w="3301" w:type="dxa"/>
            <w:gridSpan w:val="2"/>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入</w:t>
            </w:r>
          </w:p>
        </w:tc>
        <w:tc>
          <w:tcPr>
            <w:tcW w:w="7366" w:type="dxa"/>
            <w:gridSpan w:val="2"/>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color w:val="auto"/>
              </w:rPr>
              <mc:AlternateContent>
                <mc:Choice Requires="wps">
                  <w:drawing>
                    <wp:anchor distT="0" distB="0" distL="114300" distR="114300" simplePos="0" relativeHeight="251659264" behindDoc="0" locked="0" layoutInCell="1" allowOverlap="1">
                      <wp:simplePos x="0" y="0"/>
                      <wp:positionH relativeFrom="page">
                        <wp:posOffset>2736850</wp:posOffset>
                      </wp:positionH>
                      <wp:positionV relativeFrom="page">
                        <wp:posOffset>28575</wp:posOffset>
                      </wp:positionV>
                      <wp:extent cx="142240" cy="18669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42240" cy="186690"/>
                              </a:xfrm>
                              <a:prstGeom prst="rect">
                                <a:avLst/>
                              </a:prstGeom>
                              <a:noFill/>
                              <a:ln>
                                <a:noFill/>
                              </a:ln>
                            </wps:spPr>
                            <wps:txbx>
                              <w:txbxContent>
                                <w:p>
                                  <w:pPr>
                                    <w:spacing w:before="19" w:line="223" w:lineRule="auto"/>
                                    <w:ind w:firstLine="20"/>
                                    <w:rPr>
                                      <w:rFonts w:ascii="宋体" w:hAnsi="宋体" w:eastAsia="宋体" w:cs="宋体"/>
                                    </w:rPr>
                                  </w:pPr>
                                  <w:r>
                                    <w:rPr>
                                      <w:rFonts w:ascii="宋体" w:hAnsi="宋体" w:eastAsia="宋体" w:cs="宋体"/>
                                      <w:spacing w:val="-20"/>
                                      <w:w w:val="97"/>
                                    </w:rPr>
                                    <w:t>出</w:t>
                                  </w:r>
                                </w:p>
                              </w:txbxContent>
                            </wps:txbx>
                            <wps:bodyPr lIns="0" tIns="0" rIns="0" bIns="0" upright="1"/>
                          </wps:wsp>
                        </a:graphicData>
                      </a:graphic>
                    </wp:anchor>
                  </w:drawing>
                </mc:Choice>
                <mc:Fallback>
                  <w:pict>
                    <v:shape id="文本框 3" o:spid="_x0000_s1026" o:spt="202" type="#_x0000_t202" style="position:absolute;left:0pt;margin-left:215.5pt;margin-top:2.25pt;height:14.7pt;width:11.2pt;mso-position-horizontal-relative:page;mso-position-vertical-relative:page;z-index:251659264;mso-width-relative:page;mso-height-relative:page;" filled="f" stroked="f" coordsize="21600,21600" o:gfxdata="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x00DNgAAAAIAQAADwAAAAAAAAABACAAAAAiAAAAZHJzL2Rvd25yZXYueG1sUEsBAhQA&#10;FAAAAAgAh07iQK2ZOTi5AQAAcQMAAA4AAAAAAAAAAQAgAAAAJwEAAGRycy9lMm9Eb2MueG1sUEsF&#10;BgAAAAAGAAYAWQEAAFIFAAAAAA==&#10;">
                      <v:fill on="f" focussize="0,0"/>
                      <v:stroke on="f"/>
                      <v:imagedata o:title=""/>
                      <o:lock v:ext="edit" aspectratio="f"/>
                      <v:textbox inset="0mm,0mm,0mm,0mm">
                        <w:txbxContent>
                          <w:p>
                            <w:pPr>
                              <w:spacing w:before="19" w:line="223" w:lineRule="auto"/>
                              <w:ind w:firstLine="20"/>
                              <w:rPr>
                                <w:rFonts w:ascii="宋体" w:hAnsi="宋体" w:eastAsia="宋体" w:cs="宋体"/>
                              </w:rPr>
                            </w:pPr>
                            <w:r>
                              <w:rPr>
                                <w:rFonts w:ascii="宋体" w:hAnsi="宋体" w:eastAsia="宋体" w:cs="宋体"/>
                                <w:spacing w:val="-20"/>
                                <w:w w:val="97"/>
                              </w:rPr>
                              <w:t>出</w:t>
                            </w:r>
                          </w:p>
                        </w:txbxContent>
                      </v:textbox>
                    </v:shape>
                  </w:pict>
                </mc:Fallback>
              </mc:AlternateContent>
            </w:r>
            <w:r>
              <w:rPr>
                <w:rFonts w:ascii="宋体" w:hAnsi="宋体" w:eastAsia="宋体" w:cs="宋体"/>
                <w:color w:val="auto"/>
              </w:rPr>
              <w:t>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项 目</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预算数</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项目（按支出功能科目类级）</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预算数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一、财政拨款</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一般公共服务支出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240.57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一般公共预算拨款收入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政府办公厅（室）及相关机构事务</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240.57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政府性基金预算拨款收入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行政运行</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176.07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国有资本经营预算收入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其他政府办公厅（室）及相关机构事务支出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64.50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二、教育收费资金收入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社会保障和就业支出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三、事业收入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人力资源和社会保障管理事务</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四、事业单位经营收入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社会保险经办机构</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五、附属单位上缴收入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行政事业单位养老支出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24.98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六、上级补助收入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机关事业单位基本养老保险缴费支出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24.98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七、其他收入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其他社会保障和就业支出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城乡社区支出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城乡社区环境卫生</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城乡社区环境卫生</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住房保障支出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住房改革支出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住房公积金</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本年收入合计</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本年支出合计</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八、使用非财政拨款结余</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结转下年</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九、上年结转（结余）</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收入总计</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支出总计</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注：由于本表中数据四舍五入原因，部分汇总数据与分项加总之和可能存在尾差（下同）</w:t>
      </w:r>
      <w:r>
        <w:rPr>
          <w:rFonts w:hint="eastAsia" w:ascii="黑体" w:hAnsi="黑体" w:eastAsia="黑体" w:cs="黑体"/>
          <w:color w:val="auto"/>
        </w:rPr>
        <w:t>。</w:t>
      </w:r>
    </w:p>
    <w:p>
      <w:pPr>
        <w:widowControl w:val="0"/>
        <w:kinsoku/>
        <w:topLinePunct/>
        <w:autoSpaceDE/>
        <w:autoSpaceDN/>
        <w:spacing w:line="560" w:lineRule="exact"/>
        <w:rPr>
          <w:rFonts w:ascii="黑体" w:hAnsi="黑体" w:eastAsia="黑体" w:cs="宋体"/>
          <w:color w:val="auto"/>
          <w:sz w:val="32"/>
          <w:szCs w:val="32"/>
        </w:rPr>
      </w:pPr>
      <w:r>
        <w:rPr>
          <w:rFonts w:hint="eastAsia" w:ascii="黑体" w:hAnsi="黑体" w:eastAsia="黑体" w:cs="宋体"/>
          <w:color w:val="auto"/>
          <w:sz w:val="32"/>
          <w:szCs w:val="32"/>
          <w:lang w:val="en-US" w:eastAsia="zh-CN"/>
        </w:rPr>
        <w:t xml:space="preserve"> </w:t>
      </w:r>
      <w:r>
        <w:rPr>
          <w:rFonts w:ascii="黑体" w:hAnsi="黑体" w:eastAsia="黑体" w:cs="宋体"/>
          <w:color w:val="auto"/>
          <w:sz w:val="21"/>
          <w:szCs w:val="21"/>
        </w:rPr>
        <w:t>附件2-2：</w:t>
      </w:r>
    </w:p>
    <w:p>
      <w:pPr>
        <w:widowControl w:val="0"/>
        <w:kinsoku/>
        <w:topLinePunct/>
        <w:autoSpaceDE/>
        <w:autoSpaceDN/>
        <w:spacing w:line="203" w:lineRule="auto"/>
        <w:jc w:val="center"/>
        <w:rPr>
          <w:rFonts w:ascii="方正小标宋简体" w:hAnsi="宋体" w:eastAsia="方正小标宋简体" w:cs="宋体"/>
          <w:color w:val="auto"/>
          <w:sz w:val="36"/>
          <w:szCs w:val="36"/>
        </w:rPr>
      </w:pPr>
      <w:r>
        <w:rPr>
          <w:rFonts w:ascii="方正小标宋简体" w:hAnsi="宋体" w:eastAsia="方正小标宋简体" w:cs="宋体"/>
          <w:color w:val="auto"/>
          <w:sz w:val="36"/>
          <w:szCs w:val="36"/>
        </w:rPr>
        <w:t>部门收入总表</w:t>
      </w:r>
    </w:p>
    <w:p>
      <w:pPr>
        <w:widowControl w:val="0"/>
        <w:kinsoku/>
        <w:topLinePunct/>
        <w:autoSpaceDE/>
        <w:autoSpaceDN/>
        <w:spacing w:line="201" w:lineRule="exact"/>
        <w:rPr>
          <w:color w:val="auto"/>
        </w:rPr>
      </w:pPr>
    </w:p>
    <w:p>
      <w:pPr>
        <w:widowControl w:val="0"/>
        <w:kinsoku/>
        <w:topLinePunct/>
        <w:autoSpaceDE/>
        <w:autoSpaceDN/>
        <w:spacing w:line="222" w:lineRule="auto"/>
        <w:rPr>
          <w:rFonts w:ascii="黑体" w:hAnsi="黑体" w:eastAsia="黑体" w:cs="宋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宋体"/>
          <w:color w:val="auto"/>
        </w:rPr>
        <w:t>单位：万元</w:t>
      </w:r>
    </w:p>
    <w:tbl>
      <w:tblPr>
        <w:tblStyle w:val="10"/>
        <w:tblW w:w="140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1715"/>
        <w:gridCol w:w="1076"/>
        <w:gridCol w:w="756"/>
        <w:gridCol w:w="785"/>
        <w:gridCol w:w="1059"/>
        <w:gridCol w:w="969"/>
        <w:gridCol w:w="1069"/>
        <w:gridCol w:w="789"/>
        <w:gridCol w:w="831"/>
        <w:gridCol w:w="780"/>
        <w:gridCol w:w="863"/>
        <w:gridCol w:w="670"/>
        <w:gridCol w:w="787"/>
        <w:gridCol w:w="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01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1715"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107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75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上年</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结转</w:t>
            </w:r>
          </w:p>
        </w:tc>
        <w:tc>
          <w:tcPr>
            <w:tcW w:w="3882" w:type="dxa"/>
            <w:gridSpan w:val="4"/>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财政拨款</w:t>
            </w:r>
          </w:p>
        </w:tc>
        <w:tc>
          <w:tcPr>
            <w:tcW w:w="78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教育收费资金收入</w:t>
            </w:r>
          </w:p>
        </w:tc>
        <w:tc>
          <w:tcPr>
            <w:tcW w:w="831"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事业</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78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事业单位经营收入</w:t>
            </w:r>
          </w:p>
        </w:tc>
        <w:tc>
          <w:tcPr>
            <w:tcW w:w="863"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附属单</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位上缴</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67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上级补助收入</w:t>
            </w:r>
          </w:p>
        </w:tc>
        <w:tc>
          <w:tcPr>
            <w:tcW w:w="78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其他</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84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使用非财政拨款结余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jc w:val="center"/>
        </w:trPr>
        <w:tc>
          <w:tcPr>
            <w:tcW w:w="101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715"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07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5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小计</w:t>
            </w:r>
          </w:p>
        </w:tc>
        <w:tc>
          <w:tcPr>
            <w:tcW w:w="10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一般公共预算拨款收入</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政府性基金预算拨款收入</w:t>
            </w: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国有资本经营预算收入</w:t>
            </w:r>
          </w:p>
        </w:tc>
        <w:tc>
          <w:tcPr>
            <w:tcW w:w="78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31"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63"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67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4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r>
              <w:rPr>
                <w:rFonts w:hint="eastAsia" w:ascii="宋体" w:hAnsi="宋体" w:eastAsia="宋体" w:cs="宋体"/>
                <w:b/>
                <w:bCs/>
                <w:i w:val="0"/>
                <w:iCs w:val="0"/>
                <w:snapToGrid w:val="0"/>
                <w:color w:val="000000"/>
                <w:kern w:val="0"/>
                <w:sz w:val="18"/>
                <w:szCs w:val="18"/>
                <w:u w:val="none"/>
                <w:lang w:val="en-US" w:eastAsia="zh-CN" w:bidi="ar"/>
              </w:rPr>
              <w:t>南昌市东湖区人民政府贤士湖管理处</w:t>
            </w:r>
          </w:p>
        </w:tc>
        <w:tc>
          <w:tcPr>
            <w:tcW w:w="1076" w:type="dxa"/>
            <w:tcBorders>
              <w:top w:val="single" w:color="000000" w:sz="2" w:space="0"/>
              <w:bottom w:val="single" w:color="000000" w:sz="2" w:space="0"/>
            </w:tcBorders>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377.93</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r>
              <w:rPr>
                <w:rFonts w:hint="eastAsia" w:ascii="宋体" w:hAnsi="宋体" w:eastAsia="宋体" w:cs="宋体"/>
                <w:b/>
                <w:bCs/>
                <w:i w:val="0"/>
                <w:iCs w:val="0"/>
                <w:snapToGrid w:val="0"/>
                <w:color w:val="000000"/>
                <w:kern w:val="0"/>
                <w:sz w:val="18"/>
                <w:szCs w:val="18"/>
                <w:u w:val="none"/>
                <w:lang w:val="en-US" w:eastAsia="zh-CN" w:bidi="ar"/>
              </w:rPr>
              <w:t>377.93</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377.93</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6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2010301</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行政运行</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176.07</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176.07</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color w:val="auto"/>
                <w:sz w:val="18"/>
                <w:szCs w:val="18"/>
                <w:lang w:val="en-US"/>
              </w:rPr>
            </w:pPr>
            <w:r>
              <w:rPr>
                <w:rFonts w:hint="eastAsia" w:ascii="宋体" w:hAnsi="宋体" w:eastAsia="宋体" w:cs="宋体"/>
                <w:i w:val="0"/>
                <w:iCs w:val="0"/>
                <w:snapToGrid w:val="0"/>
                <w:color w:val="000000"/>
                <w:kern w:val="0"/>
                <w:sz w:val="18"/>
                <w:szCs w:val="18"/>
                <w:u w:val="none"/>
                <w:lang w:val="en-US" w:eastAsia="zh-CN" w:bidi="ar"/>
              </w:rPr>
              <w:t>176.07</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2010399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其他政府办公厅（室）及相关机构事务支出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64.50</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64.50</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color w:val="auto"/>
                <w:sz w:val="18"/>
                <w:szCs w:val="18"/>
                <w:lang w:val="en-US"/>
              </w:rPr>
            </w:pPr>
            <w:r>
              <w:rPr>
                <w:rFonts w:hint="eastAsia" w:ascii="宋体" w:hAnsi="宋体" w:eastAsia="宋体" w:cs="宋体"/>
                <w:i w:val="0"/>
                <w:iCs w:val="0"/>
                <w:snapToGrid w:val="0"/>
                <w:color w:val="000000"/>
                <w:kern w:val="0"/>
                <w:sz w:val="18"/>
                <w:szCs w:val="18"/>
                <w:u w:val="none"/>
                <w:lang w:val="en-US" w:eastAsia="zh-CN" w:bidi="ar"/>
              </w:rPr>
              <w:t>64.50</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2080109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社会保险经办机构</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2080505</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机关事业单位基本养老保险缴费支出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2089999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其他社会保障和就业支出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2120501</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城乡社区环境卫生</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2210201</w:t>
            </w:r>
          </w:p>
        </w:tc>
        <w:tc>
          <w:tcPr>
            <w:tcW w:w="1715"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　住房公积金</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hint="eastAsia" w:ascii="黑体" w:hAnsi="黑体" w:eastAsia="黑体" w:cs="黑体"/>
          <w:color w:val="auto"/>
          <w:sz w:val="21"/>
          <w:szCs w:val="21"/>
          <w:lang w:val="en-US" w:eastAsia="zh-CN"/>
        </w:rPr>
        <w:t xml:space="preserve"> </w:t>
      </w:r>
      <w:r>
        <w:rPr>
          <w:rFonts w:ascii="黑体" w:hAnsi="黑体" w:eastAsia="黑体" w:cs="黑体"/>
          <w:color w:val="auto"/>
          <w:sz w:val="21"/>
          <w:szCs w:val="21"/>
        </w:rPr>
        <w:t>附件2-3：</w:t>
      </w:r>
    </w:p>
    <w:p>
      <w:pPr>
        <w:widowControl w:val="0"/>
        <w:kinsoku/>
        <w:topLinePunct/>
        <w:autoSpaceDE/>
        <w:autoSpaceDN/>
        <w:spacing w:before="44" w:line="203" w:lineRule="auto"/>
        <w:ind w:firstLine="54"/>
        <w:jc w:val="center"/>
        <w:rPr>
          <w:rFonts w:ascii="方正小标宋简体" w:hAnsi="宋体" w:eastAsia="方正小标宋简体" w:cs="宋体"/>
          <w:color w:val="auto"/>
          <w:sz w:val="36"/>
          <w:szCs w:val="36"/>
        </w:rPr>
      </w:pPr>
      <w:r>
        <w:rPr>
          <w:rFonts w:ascii="方正小标宋简体" w:hAnsi="宋体" w:eastAsia="方正小标宋简体" w:cs="宋体"/>
          <w:color w:val="auto"/>
          <w:sz w:val="36"/>
          <w:szCs w:val="36"/>
        </w:rPr>
        <w:t>部门支出总表</w:t>
      </w:r>
    </w:p>
    <w:p>
      <w:pPr>
        <w:widowControl w:val="0"/>
        <w:kinsoku/>
        <w:topLinePunct/>
        <w:autoSpaceDE/>
        <w:autoSpaceDN/>
        <w:spacing w:line="132" w:lineRule="exact"/>
        <w:rPr>
          <w:color w:val="auto"/>
        </w:rPr>
      </w:pPr>
    </w:p>
    <w:p>
      <w:pPr>
        <w:widowControl w:val="0"/>
        <w:kinsoku/>
        <w:topLinePunct/>
        <w:autoSpaceDE/>
        <w:autoSpaceDN/>
        <w:spacing w:line="222" w:lineRule="auto"/>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17" w:lineRule="exact"/>
        <w:rPr>
          <w:color w:val="auto"/>
        </w:rPr>
      </w:pPr>
    </w:p>
    <w:tbl>
      <w:tblPr>
        <w:tblStyle w:val="10"/>
        <w:tblW w:w="139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0"/>
        <w:gridCol w:w="4885"/>
        <w:gridCol w:w="2037"/>
        <w:gridCol w:w="2578"/>
        <w:gridCol w:w="24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6915"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支出功能分类科目</w:t>
            </w:r>
          </w:p>
        </w:tc>
        <w:tc>
          <w:tcPr>
            <w:tcW w:w="203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7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6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科目编码</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科目名称</w:t>
            </w:r>
          </w:p>
        </w:tc>
        <w:tc>
          <w:tcPr>
            <w:tcW w:w="203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257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246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20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ascii="宋体" w:hAnsi="宋体" w:eastAsia="宋体" w:cs="宋体"/>
                <w:color w:val="auto"/>
                <w:lang w:val="en-US" w:eastAsia="zh-CN"/>
              </w:rPr>
              <w:t>1</w:t>
            </w:r>
          </w:p>
        </w:tc>
        <w:tc>
          <w:tcPr>
            <w:tcW w:w="257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4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20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7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2" w:hRule="atLeast"/>
        </w:trPr>
        <w:tc>
          <w:tcPr>
            <w:tcW w:w="203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wordWrap/>
              <w:overflowPunct/>
              <w:bidi w:val="0"/>
              <w:adjustRightInd w:val="0"/>
              <w:snapToGrid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b/>
                <w:bCs/>
                <w:i w:val="0"/>
                <w:iCs w:val="0"/>
                <w:snapToGrid w:val="0"/>
                <w:color w:val="000000"/>
                <w:kern w:val="0"/>
                <w:sz w:val="24"/>
                <w:szCs w:val="24"/>
                <w:u w:val="none"/>
                <w:lang w:val="en-US" w:eastAsia="zh-CN" w:bidi="ar"/>
              </w:rPr>
              <w:t>合计</w:t>
            </w:r>
          </w:p>
        </w:tc>
        <w:tc>
          <w:tcPr>
            <w:tcW w:w="2037"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377.93</w:t>
            </w:r>
          </w:p>
        </w:tc>
        <w:tc>
          <w:tcPr>
            <w:tcW w:w="2578"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254.46</w:t>
            </w:r>
          </w:p>
        </w:tc>
        <w:tc>
          <w:tcPr>
            <w:tcW w:w="246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hint="eastAsia" w:ascii="宋体" w:hAnsi="宋体" w:eastAsia="宋体" w:cs="宋体"/>
                <w:b/>
                <w:bCs/>
                <w:i w:val="0"/>
                <w:iCs w:val="0"/>
                <w:snapToGrid w:val="0"/>
                <w:color w:val="000000"/>
                <w:sz w:val="21"/>
                <w:szCs w:val="21"/>
                <w:u w:val="none"/>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201</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一般公共服务支出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240.57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03</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政府办公厅（室）及相关机构事务</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240.57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2010301</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行政运行</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2010399</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其他政府办公厅（室）及相关机构事务支出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208</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社会保障和就业支出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30.76</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30.76</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人力资源和社会保障管理事务</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2080109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社会保险经办机构</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行政事业单位养老支出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2080505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机关事业单位基本养老保险缴费支出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99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2089999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212</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城乡社区支出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2120501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住房保障支出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02</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住房改革支出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2210201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住房公积金</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bl>
    <w:p>
      <w:pPr>
        <w:widowControl w:val="0"/>
        <w:tabs>
          <w:tab w:val="left" w:pos="210"/>
        </w:tabs>
        <w:kinsoku/>
        <w:topLinePunct/>
        <w:autoSpaceDE/>
        <w:autoSpaceDN/>
        <w:spacing w:line="14" w:lineRule="auto"/>
        <w:rPr>
          <w:color w:val="auto"/>
          <w:sz w:val="21"/>
          <w:szCs w:val="21"/>
        </w:rPr>
      </w:pPr>
    </w:p>
    <w:p>
      <w:pPr>
        <w:widowControl w:val="0"/>
        <w:tabs>
          <w:tab w:val="left" w:pos="210"/>
        </w:tabs>
        <w:kinsoku/>
        <w:topLinePunct/>
        <w:autoSpaceDE/>
        <w:autoSpaceDN/>
        <w:spacing w:line="167" w:lineRule="exact"/>
        <w:rPr>
          <w:color w:val="auto"/>
          <w:sz w:val="21"/>
          <w:szCs w:val="21"/>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kinsoku/>
        <w:topLinePunct/>
        <w:autoSpaceDE/>
        <w:autoSpaceDN/>
        <w:rPr>
          <w:rFonts w:hint="eastAsia" w:ascii="黑体" w:hAnsi="黑体" w:eastAsia="黑体"/>
          <w:sz w:val="21"/>
          <w:szCs w:val="21"/>
        </w:rPr>
      </w:pPr>
      <w:r>
        <w:rPr>
          <w:rFonts w:hint="eastAsia" w:ascii="黑体" w:hAnsi="黑体" w:eastAsia="黑体" w:cs="宋体"/>
          <w:sz w:val="21"/>
          <w:szCs w:val="21"/>
          <w:lang w:val="en-US" w:eastAsia="zh-CN"/>
        </w:rPr>
        <w:t xml:space="preserve"> </w:t>
      </w:r>
      <w:r>
        <w:rPr>
          <w:rFonts w:hint="eastAsia" w:ascii="黑体" w:hAnsi="黑体" w:eastAsia="黑体" w:cs="宋体"/>
          <w:sz w:val="21"/>
          <w:szCs w:val="21"/>
        </w:rPr>
        <w:t>附件</w:t>
      </w:r>
      <w:r>
        <w:rPr>
          <w:rFonts w:ascii="黑体" w:hAnsi="黑体" w:eastAsia="黑体"/>
          <w:sz w:val="21"/>
          <w:szCs w:val="21"/>
        </w:rPr>
        <w:t>2-4</w:t>
      </w:r>
      <w:r>
        <w:rPr>
          <w:rFonts w:hint="eastAsia" w:ascii="黑体" w:hAnsi="黑体" w:eastAsia="黑体" w:cs="宋体"/>
          <w:sz w:val="21"/>
          <w:szCs w:val="21"/>
        </w:rPr>
        <w:t>：</w:t>
      </w:r>
    </w:p>
    <w:p>
      <w:pPr>
        <w:widowControl w:val="0"/>
        <w:kinsoku/>
        <w:topLinePunct/>
        <w:autoSpaceDE/>
        <w:autoSpaceDN/>
        <w:spacing w:line="500" w:lineRule="exact"/>
        <w:jc w:val="center"/>
        <w:rPr>
          <w:rFonts w:ascii="黑体" w:hAnsi="黑体" w:eastAsia="黑体" w:cs="黑体"/>
          <w:color w:val="auto"/>
        </w:rPr>
      </w:pPr>
      <w:r>
        <w:rPr>
          <w:rFonts w:ascii="方正小标宋简体" w:hAnsi="宋体" w:eastAsia="方正小标宋简体" w:cs="宋体"/>
          <w:color w:val="auto"/>
          <w:sz w:val="36"/>
          <w:szCs w:val="36"/>
        </w:rPr>
        <w:t>财政拨款收支总表</w:t>
      </w:r>
    </w:p>
    <w:p>
      <w:pPr>
        <w:kinsoku/>
        <w:topLinePunct/>
        <w:autoSpaceDE/>
        <w:autoSpaceDN/>
        <w:rPr>
          <w:rFonts w:ascii="黑体" w:hAnsi="黑体" w:eastAsia="黑体"/>
        </w:rPr>
      </w:pPr>
      <w:r>
        <w:rPr>
          <w:rFonts w:hint="eastAsia" w:ascii="黑体" w:hAnsi="黑体" w:eastAsia="黑体" w:cs="宋体"/>
        </w:rPr>
        <w:t>填报单位：                                                                                                                 单位：万元</w:t>
      </w:r>
    </w:p>
    <w:tbl>
      <w:tblPr>
        <w:tblStyle w:val="10"/>
        <w:tblW w:w="141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37"/>
        <w:gridCol w:w="1541"/>
        <w:gridCol w:w="3388"/>
        <w:gridCol w:w="1553"/>
        <w:gridCol w:w="2093"/>
        <w:gridCol w:w="23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kinsoku/>
              <w:topLinePunct/>
              <w:autoSpaceDE/>
              <w:autoSpaceDN/>
              <w:ind w:left="42" w:leftChars="20" w:right="42" w:rightChars="20"/>
              <w:jc w:val="center"/>
              <w:rPr>
                <w:rFonts w:ascii="宋体" w:hAnsi="宋体" w:eastAsia="宋体" w:cs="宋体"/>
                <w:color w:val="auto"/>
              </w:rPr>
            </w:pPr>
            <w:r>
              <w:rPr>
                <w:rFonts w:ascii="宋体" w:hAnsi="宋体" w:eastAsia="宋体" w:cs="宋体"/>
                <w:sz w:val="20"/>
                <w:szCs w:val="20"/>
              </w:rPr>
              <w:t>收</w:t>
            </w:r>
            <w:r>
              <w:rPr>
                <w:rFonts w:ascii="宋体" w:hAnsi="宋体" w:eastAsia="宋体" w:cs="宋体"/>
                <w:color w:val="auto"/>
              </w:rPr>
              <w:t>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9362" w:type="dxa"/>
            <w:gridSpan w:val="4"/>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 目</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预算数</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项目（按支出功能科目类级）</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一般公共预算支出</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政府性基金预算支出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一、财政拨款收入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一、本年支出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一般公共预算拨款收入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一般公共服务支出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240.57</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240.57</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政府性基金预算拨款收入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社会保障和就业支出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30.76</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30.76</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国有资本经营预算收入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城乡社区支出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58.97</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58.97</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住房保障支出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47.63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47.63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二、上年结转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二、结转下年</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一般公共预算拨款结转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政府性基金预算拨款结转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收入总计</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支出总计</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spacing w:line="14" w:lineRule="auto"/>
        <w:rPr>
          <w:color w:val="auto"/>
        </w:rPr>
      </w:pPr>
    </w:p>
    <w:p>
      <w:pPr>
        <w:widowControl w:val="0"/>
        <w:kinsoku/>
        <w:topLinePunct/>
        <w:autoSpaceDE/>
        <w:autoSpaceDN/>
        <w:spacing w:line="560" w:lineRule="exact"/>
        <w:rPr>
          <w:rFonts w:hint="eastAsia" w:ascii="黑体" w:hAnsi="黑体" w:eastAsia="黑体" w:cs="宋体"/>
          <w:color w:val="auto"/>
          <w:sz w:val="32"/>
          <w:szCs w:val="32"/>
          <w:lang w:val="en-US" w:eastAsia="zh-CN"/>
        </w:rPr>
      </w:pPr>
      <w:r>
        <w:rPr>
          <w:rFonts w:hint="eastAsia" w:ascii="黑体" w:hAnsi="黑体" w:eastAsia="黑体" w:cs="宋体"/>
          <w:color w:val="auto"/>
          <w:sz w:val="32"/>
          <w:szCs w:val="32"/>
          <w:lang w:val="en-US" w:eastAsia="zh-CN"/>
        </w:rPr>
        <w:t xml:space="preserve"> </w:t>
      </w:r>
    </w:p>
    <w:p>
      <w:pPr>
        <w:widowControl w:val="0"/>
        <w:kinsoku/>
        <w:topLinePunct/>
        <w:autoSpaceDE/>
        <w:autoSpaceDN/>
        <w:spacing w:line="560" w:lineRule="exact"/>
        <w:rPr>
          <w:rFonts w:ascii="黑体" w:hAnsi="黑体" w:eastAsia="黑体" w:cs="宋体"/>
          <w:color w:val="auto"/>
          <w:sz w:val="32"/>
          <w:szCs w:val="32"/>
        </w:rPr>
      </w:pPr>
      <w:r>
        <w:rPr>
          <w:rFonts w:ascii="黑体" w:hAnsi="黑体" w:eastAsia="黑体" w:cs="宋体"/>
          <w:color w:val="auto"/>
          <w:sz w:val="21"/>
          <w:szCs w:val="21"/>
        </w:rPr>
        <w:t>附件2-5：</w:t>
      </w:r>
    </w:p>
    <w:p>
      <w:pPr>
        <w:widowControl w:val="0"/>
        <w:kinsoku/>
        <w:topLinePunct/>
        <w:autoSpaceDE/>
        <w:autoSpaceDN/>
        <w:spacing w:line="290" w:lineRule="auto"/>
        <w:jc w:val="center"/>
        <w:rPr>
          <w:color w:val="auto"/>
        </w:rPr>
      </w:pPr>
      <w:r>
        <w:rPr>
          <w:rFonts w:ascii="方正小标宋简体" w:hAnsi="宋体" w:eastAsia="方正小标宋简体" w:cs="宋体"/>
          <w:color w:val="auto"/>
          <w:sz w:val="36"/>
          <w:szCs w:val="36"/>
        </w:rPr>
        <w:t>一般公共预算支出表</w:t>
      </w:r>
    </w:p>
    <w:p>
      <w:pPr>
        <w:widowControl w:val="0"/>
        <w:kinsoku/>
        <w:topLinePunct/>
        <w:autoSpaceDE/>
        <w:autoSpaceDN/>
        <w:rPr>
          <w:rFonts w:hint="eastAsia" w:ascii="黑体" w:hAnsi="黑体" w:eastAsia="黑体" w:cs="宋体"/>
          <w:color w:val="auto"/>
          <w:lang w:val="en-US" w:eastAsia="zh-CN"/>
        </w:rPr>
      </w:pPr>
      <w:r>
        <w:rPr>
          <w:rFonts w:ascii="黑体" w:hAnsi="黑体" w:eastAsia="黑体" w:cs="宋体"/>
          <w:color w:val="auto"/>
        </w:rPr>
        <w:t>填报单位</w:t>
      </w:r>
      <w:r>
        <w:rPr>
          <w:rFonts w:hint="eastAsia" w:ascii="黑体" w:hAnsi="黑体" w:eastAsia="黑体" w:cs="宋体"/>
          <w:color w:val="auto"/>
        </w:rPr>
        <w:t xml:space="preserve">：                                                                                                                 </w:t>
      </w:r>
      <w:r>
        <w:rPr>
          <w:rFonts w:ascii="黑体" w:hAnsi="黑体" w:eastAsia="黑体" w:cs="宋体"/>
          <w:color w:val="auto"/>
        </w:rPr>
        <w:t>单位：万</w:t>
      </w:r>
      <w:r>
        <w:rPr>
          <w:rFonts w:hint="eastAsia" w:ascii="黑体" w:hAnsi="黑体" w:eastAsia="黑体" w:cs="宋体"/>
          <w:color w:val="auto"/>
          <w:lang w:val="en-US" w:eastAsia="zh-CN"/>
        </w:rPr>
        <w:t>元</w:t>
      </w:r>
    </w:p>
    <w:p>
      <w:pPr>
        <w:widowControl w:val="0"/>
        <w:kinsoku/>
        <w:topLinePunct/>
        <w:autoSpaceDE/>
        <w:autoSpaceDN/>
        <w:spacing w:line="52" w:lineRule="auto"/>
        <w:rPr>
          <w:color w:val="auto"/>
        </w:rPr>
      </w:pPr>
    </w:p>
    <w:tbl>
      <w:tblPr>
        <w:tblStyle w:val="10"/>
        <w:tblW w:w="142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5"/>
        <w:gridCol w:w="4587"/>
        <w:gridCol w:w="2230"/>
        <w:gridCol w:w="2553"/>
        <w:gridCol w:w="24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6972"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支出功能分类科目</w:t>
            </w:r>
          </w:p>
        </w:tc>
        <w:tc>
          <w:tcPr>
            <w:tcW w:w="727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202</w:t>
            </w:r>
            <w:r>
              <w:rPr>
                <w:rFonts w:hint="eastAsia" w:ascii="黑体" w:hAnsi="黑体" w:eastAsia="黑体" w:cs="宋体"/>
                <w:color w:val="auto"/>
                <w:lang w:val="en-US" w:eastAsia="zh-CN"/>
              </w:rPr>
              <w:t>3</w:t>
            </w:r>
            <w:r>
              <w:rPr>
                <w:rFonts w:ascii="黑体" w:hAnsi="黑体" w:eastAsia="黑体" w:cs="宋体"/>
                <w:color w:val="auto"/>
              </w:rPr>
              <w:t>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科目编码</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科目名称</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（公开到项级）</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1</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2"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基本支出-合计</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b/>
                <w:bCs/>
                <w:i w:val="0"/>
                <w:iCs w:val="0"/>
                <w:snapToGrid w:val="0"/>
                <w:color w:val="000000"/>
                <w:kern w:val="0"/>
                <w:sz w:val="24"/>
                <w:szCs w:val="24"/>
                <w:u w:val="none"/>
                <w:lang w:val="en-US" w:eastAsia="zh-CN" w:bidi="ar"/>
              </w:rPr>
              <w:t>合计</w:t>
            </w:r>
          </w:p>
        </w:tc>
        <w:tc>
          <w:tcPr>
            <w:tcW w:w="223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377.93</w:t>
            </w:r>
          </w:p>
        </w:tc>
        <w:tc>
          <w:tcPr>
            <w:tcW w:w="2553"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254.46</w:t>
            </w:r>
          </w:p>
        </w:tc>
        <w:tc>
          <w:tcPr>
            <w:tcW w:w="2488"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201</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一般公共服务支出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240.57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03</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政府办公厅（室）及相关机构事务</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240.57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2010301</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行政运行</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2010399</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其他政府办公厅（室）及相关机构事务支出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208</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社会保障和就业支出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30.76</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30.76</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人力资源和社会保障管理事务</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2080109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社会保险经办机构</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行政事业单位养老支出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2080505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机关事业单位基本养老保险缴费支出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99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2089999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212</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城乡社区支出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2120501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221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住房保障支出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02</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住房改革支出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2210201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住房公积金</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附件2-6：</w:t>
      </w:r>
    </w:p>
    <w:p>
      <w:pPr>
        <w:widowControl w:val="0"/>
        <w:kinsoku/>
        <w:topLinePunct/>
        <w:autoSpaceDE/>
        <w:autoSpaceDN/>
        <w:spacing w:before="44" w:line="203" w:lineRule="auto"/>
        <w:ind w:firstLine="54"/>
        <w:jc w:val="center"/>
        <w:rPr>
          <w:rFonts w:ascii="方正小标宋简体" w:hAnsi="宋体" w:eastAsia="方正小标宋简体" w:cs="宋体"/>
          <w:color w:val="auto"/>
          <w:sz w:val="36"/>
          <w:szCs w:val="36"/>
        </w:rPr>
      </w:pPr>
      <w:r>
        <w:rPr>
          <w:rFonts w:ascii="方正小标宋简体" w:hAnsi="宋体" w:eastAsia="方正小标宋简体" w:cs="宋体"/>
          <w:color w:val="auto"/>
          <w:sz w:val="36"/>
          <w:szCs w:val="36"/>
        </w:rPr>
        <w:t>一般公共预算基本支出表</w:t>
      </w:r>
    </w:p>
    <w:p>
      <w:pPr>
        <w:widowControl w:val="0"/>
        <w:kinsoku/>
        <w:topLinePunct/>
        <w:autoSpaceDE/>
        <w:autoSpaceDN/>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14" w:lineRule="exact"/>
        <w:rPr>
          <w:color w:val="auto"/>
        </w:rPr>
      </w:pPr>
    </w:p>
    <w:tbl>
      <w:tblPr>
        <w:tblStyle w:val="10"/>
        <w:tblW w:w="140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73"/>
        <w:gridCol w:w="4031"/>
        <w:gridCol w:w="2137"/>
        <w:gridCol w:w="2551"/>
        <w:gridCol w:w="25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804" w:type="dxa"/>
            <w:gridSpan w:val="2"/>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支出经济分类科目</w:t>
            </w:r>
          </w:p>
        </w:tc>
        <w:tc>
          <w:tcPr>
            <w:tcW w:w="7240" w:type="dxa"/>
            <w:gridSpan w:val="3"/>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2022年基本支出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773"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科目编码</w:t>
            </w:r>
          </w:p>
        </w:tc>
        <w:tc>
          <w:tcPr>
            <w:tcW w:w="4031"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科目名称</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人员经费</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公用经费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4031"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w:t>
            </w:r>
          </w:p>
        </w:tc>
        <w:tc>
          <w:tcPr>
            <w:tcW w:w="213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2</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合计</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254.46</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ascii="宋体" w:hAnsi="宋体" w:eastAsia="宋体" w:cs="宋体"/>
                <w:color w:val="auto"/>
                <w:lang w:val="en-US" w:eastAsia="zh-CN"/>
              </w:rPr>
            </w:pPr>
            <w:r>
              <w:rPr>
                <w:rFonts w:hint="eastAsia" w:ascii="宋体" w:hAnsi="宋体" w:eastAsia="宋体" w:cs="宋体"/>
                <w:b/>
                <w:bCs/>
                <w:color w:val="auto"/>
                <w:lang w:val="en-US" w:eastAsia="zh-CN"/>
              </w:rPr>
              <w:t>240.45</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ascii="宋体" w:hAnsi="宋体" w:eastAsia="宋体" w:cs="宋体"/>
                <w:color w:val="auto"/>
                <w:lang w:val="en-US" w:eastAsia="zh-CN"/>
              </w:rPr>
            </w:pPr>
            <w:r>
              <w:rPr>
                <w:rFonts w:hint="eastAsia" w:ascii="宋体" w:hAnsi="宋体" w:eastAsia="宋体" w:cs="宋体"/>
                <w:b/>
                <w:bCs/>
                <w:color w:val="auto"/>
                <w:lang w:val="en-US" w:eastAsia="zh-CN"/>
              </w:rPr>
              <w:t>14.01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工资福利支出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240.23</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240.23</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基本工资</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58.98</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58.98</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津贴补贴</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3.44</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3.44</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奖金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0.44</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0.44</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30107</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绩效工资</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35.60</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35.60</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30108</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机关事业单位基本养老保险缴费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24.98</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24.98</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30110</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职工基本医疗保险缴费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21.55</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21.55</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其他社会保障缴费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1.20</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1.20</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住房公积金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47.63</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47.63</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30199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其他工资福利支出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46.41</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46.41</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商品和服务支出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14.01</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14.01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办公费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3.00</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30228</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工会经费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8.00</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30229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福利费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3.01</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对个人和家庭的补助</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0.22</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30309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奖励金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hint="eastAsia" w:ascii="黑体" w:hAnsi="黑体" w:eastAsia="黑体" w:cs="黑体"/>
          <w:color w:val="auto"/>
          <w:sz w:val="21"/>
          <w:szCs w:val="21"/>
          <w:lang w:val="en-US" w:eastAsia="zh-CN"/>
        </w:rPr>
        <w:t xml:space="preserve"> </w:t>
      </w:r>
      <w:r>
        <w:rPr>
          <w:rFonts w:ascii="黑体" w:hAnsi="黑体" w:eastAsia="黑体" w:cs="黑体"/>
          <w:color w:val="auto"/>
          <w:sz w:val="21"/>
          <w:szCs w:val="21"/>
        </w:rPr>
        <w:t>附件2-7：</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一般公共预算</w:t>
      </w:r>
      <w:r>
        <w:rPr>
          <w:rFonts w:hint="eastAsia" w:ascii="方正小标宋简体" w:hAnsi="宋体" w:eastAsia="方正小标宋简体" w:cs="宋体"/>
          <w:color w:val="auto"/>
          <w:spacing w:val="-4"/>
          <w:sz w:val="36"/>
          <w:szCs w:val="36"/>
        </w:rPr>
        <w:t>“</w:t>
      </w:r>
      <w:r>
        <w:rPr>
          <w:rFonts w:ascii="方正小标宋简体" w:hAnsi="宋体" w:eastAsia="方正小标宋简体" w:cs="宋体"/>
          <w:color w:val="auto"/>
          <w:spacing w:val="-4"/>
          <w:sz w:val="36"/>
          <w:szCs w:val="36"/>
        </w:rPr>
        <w:t>三公</w:t>
      </w:r>
      <w:r>
        <w:rPr>
          <w:rFonts w:hint="eastAsia" w:ascii="方正小标宋简体" w:hAnsi="宋体" w:eastAsia="方正小标宋简体" w:cs="宋体"/>
          <w:color w:val="auto"/>
          <w:spacing w:val="-4"/>
          <w:sz w:val="36"/>
          <w:szCs w:val="36"/>
        </w:rPr>
        <w:t>”</w:t>
      </w:r>
      <w:r>
        <w:rPr>
          <w:rFonts w:ascii="方正小标宋简体" w:hAnsi="宋体" w:eastAsia="方正小标宋简体" w:cs="宋体"/>
          <w:color w:val="auto"/>
          <w:spacing w:val="-4"/>
          <w:sz w:val="36"/>
          <w:szCs w:val="36"/>
        </w:rPr>
        <w:t>经费支出表</w:t>
      </w:r>
    </w:p>
    <w:p>
      <w:pPr>
        <w:widowControl w:val="0"/>
        <w:kinsoku/>
        <w:topLinePunct/>
        <w:autoSpaceDE/>
        <w:autoSpaceDN/>
        <w:spacing w:line="61" w:lineRule="exact"/>
        <w:rPr>
          <w:color w:val="auto"/>
        </w:rPr>
      </w:pPr>
    </w:p>
    <w:p>
      <w:pPr>
        <w:widowControl w:val="0"/>
        <w:kinsoku/>
        <w:topLinePunct/>
        <w:autoSpaceDE/>
        <w:autoSpaceDN/>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22" w:lineRule="exact"/>
        <w:rPr>
          <w:color w:val="auto"/>
        </w:rPr>
      </w:pPr>
    </w:p>
    <w:tbl>
      <w:tblPr>
        <w:tblStyle w:val="10"/>
        <w:tblW w:w="141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4"/>
        <w:gridCol w:w="4097"/>
        <w:gridCol w:w="1122"/>
        <w:gridCol w:w="850"/>
        <w:gridCol w:w="1259"/>
        <w:gridCol w:w="1860"/>
        <w:gridCol w:w="1169"/>
        <w:gridCol w:w="1199"/>
        <w:gridCol w:w="1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44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单位编码</w:t>
            </w:r>
          </w:p>
        </w:tc>
        <w:tc>
          <w:tcPr>
            <w:tcW w:w="409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单位名称</w:t>
            </w:r>
          </w:p>
        </w:tc>
        <w:tc>
          <w:tcPr>
            <w:tcW w:w="1122"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3969"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因公出国（境）费</w:t>
            </w:r>
          </w:p>
        </w:tc>
        <w:tc>
          <w:tcPr>
            <w:tcW w:w="116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公务接待费</w:t>
            </w:r>
          </w:p>
        </w:tc>
        <w:tc>
          <w:tcPr>
            <w:tcW w:w="11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公务用车</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运行维护费</w:t>
            </w:r>
          </w:p>
        </w:tc>
        <w:tc>
          <w:tcPr>
            <w:tcW w:w="117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公务用车</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购置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144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409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22"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5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小计</w:t>
            </w:r>
          </w:p>
        </w:tc>
        <w:tc>
          <w:tcPr>
            <w:tcW w:w="12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一般公务出国（境）费</w:t>
            </w:r>
          </w:p>
        </w:tc>
        <w:tc>
          <w:tcPr>
            <w:tcW w:w="18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高等院校和科研院 所学术交流合作出</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国（境）费</w:t>
            </w:r>
          </w:p>
        </w:tc>
        <w:tc>
          <w:tcPr>
            <w:tcW w:w="116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7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4097"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112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1</w:t>
            </w:r>
          </w:p>
        </w:tc>
        <w:tc>
          <w:tcPr>
            <w:tcW w:w="85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12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c>
          <w:tcPr>
            <w:tcW w:w="18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1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5</w:t>
            </w:r>
          </w:p>
        </w:tc>
        <w:tc>
          <w:tcPr>
            <w:tcW w:w="11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6</w:t>
            </w:r>
          </w:p>
        </w:tc>
        <w:tc>
          <w:tcPr>
            <w:tcW w:w="117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152001</w:t>
            </w:r>
          </w:p>
        </w:tc>
        <w:tc>
          <w:tcPr>
            <w:tcW w:w="4097"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南昌市东湖区人民政府贤士湖管理处</w:t>
            </w:r>
          </w:p>
        </w:tc>
        <w:tc>
          <w:tcPr>
            <w:tcW w:w="1122" w:type="dxa"/>
            <w:tcBorders>
              <w:top w:val="single" w:color="000000" w:sz="2" w:space="0"/>
              <w:bottom w:val="single" w:color="000000" w:sz="2"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6.50</w:t>
            </w:r>
          </w:p>
        </w:tc>
        <w:tc>
          <w:tcPr>
            <w:tcW w:w="850" w:type="dxa"/>
            <w:tcBorders>
              <w:top w:val="single" w:color="000000" w:sz="2" w:space="0"/>
              <w:bottom w:val="single" w:color="000000" w:sz="2" w:space="0"/>
            </w:tcBorders>
            <w:vAlign w:val="center"/>
          </w:tcPr>
          <w:p>
            <w:pPr>
              <w:jc w:val="right"/>
              <w:rPr>
                <w:color w:val="auto"/>
              </w:rPr>
            </w:pPr>
          </w:p>
        </w:tc>
        <w:tc>
          <w:tcPr>
            <w:tcW w:w="1259" w:type="dxa"/>
            <w:tcBorders>
              <w:top w:val="single" w:color="000000" w:sz="2" w:space="0"/>
              <w:bottom w:val="single" w:color="000000" w:sz="2" w:space="0"/>
            </w:tcBorders>
            <w:vAlign w:val="center"/>
          </w:tcPr>
          <w:p>
            <w:pPr>
              <w:keepNext w:val="0"/>
              <w:keepLines w:val="0"/>
              <w:widowControl/>
              <w:suppressLineNumbers w:val="0"/>
              <w:jc w:val="right"/>
              <w:textAlignment w:val="center"/>
              <w:rPr>
                <w:color w:val="auto"/>
              </w:rPr>
            </w:pPr>
          </w:p>
        </w:tc>
        <w:tc>
          <w:tcPr>
            <w:tcW w:w="1860"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p>
        </w:tc>
        <w:tc>
          <w:tcPr>
            <w:tcW w:w="1169" w:type="dxa"/>
            <w:tcBorders>
              <w:top w:val="single" w:color="000000" w:sz="2" w:space="0"/>
              <w:bottom w:val="single" w:color="000000" w:sz="2" w:space="0"/>
            </w:tcBorders>
            <w:vAlign w:val="center"/>
          </w:tcPr>
          <w:p>
            <w:pPr>
              <w:keepNext w:val="0"/>
              <w:keepLines w:val="0"/>
              <w:widowControl/>
              <w:suppressLineNumbers w:val="0"/>
              <w:jc w:val="left"/>
              <w:textAlignment w:val="center"/>
              <w:rPr>
                <w:rFonts w:hint="default" w:eastAsia="宋体"/>
                <w:color w:val="auto"/>
                <w:lang w:val="en-US" w:eastAsia="zh-CN"/>
              </w:rPr>
            </w:pPr>
            <w:r>
              <w:rPr>
                <w:rFonts w:hint="eastAsia" w:eastAsia="宋体"/>
                <w:color w:val="auto"/>
                <w:lang w:val="en-US" w:eastAsia="zh-CN"/>
              </w:rPr>
              <w:t>6.50</w:t>
            </w:r>
          </w:p>
        </w:tc>
        <w:tc>
          <w:tcPr>
            <w:tcW w:w="11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17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若为空表，则为该部门（单位） 无 "三公 "经费支出</w:t>
      </w: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ascii="黑体" w:hAnsi="黑体" w:eastAsia="黑体" w:cs="黑体"/>
          <w:color w:val="auto"/>
          <w:sz w:val="21"/>
          <w:szCs w:val="21"/>
        </w:rPr>
        <w:t>附件2-8：</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政府性基金预算支出表</w:t>
      </w:r>
    </w:p>
    <w:p>
      <w:pPr>
        <w:widowControl w:val="0"/>
        <w:kinsoku/>
        <w:topLinePunct/>
        <w:autoSpaceDE/>
        <w:autoSpaceDN/>
        <w:rPr>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tbl>
      <w:tblPr>
        <w:tblStyle w:val="10"/>
        <w:tblW w:w="140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767"/>
        <w:gridCol w:w="2267"/>
        <w:gridCol w:w="2507"/>
        <w:gridCol w:w="25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6752" w:type="dxa"/>
            <w:gridSpan w:val="2"/>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支出功能分类科目</w:t>
            </w:r>
          </w:p>
        </w:tc>
        <w:tc>
          <w:tcPr>
            <w:tcW w:w="7282" w:type="dxa"/>
            <w:gridSpan w:val="3"/>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科目编码</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科目名称</w:t>
            </w:r>
          </w:p>
        </w:tc>
        <w:tc>
          <w:tcPr>
            <w:tcW w:w="22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基本支出</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米率</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w:t>
            </w:r>
          </w:p>
        </w:tc>
        <w:tc>
          <w:tcPr>
            <w:tcW w:w="22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2</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功能科目编码</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功能科目名称</w:t>
            </w:r>
          </w:p>
        </w:tc>
        <w:tc>
          <w:tcPr>
            <w:tcW w:w="22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基本支出</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47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2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8"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若为空表，则为该部门（单位） 无政府性基金收支</w:t>
      </w: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ascii="黑体" w:hAnsi="黑体" w:eastAsia="黑体" w:cs="黑体"/>
          <w:color w:val="auto"/>
          <w:sz w:val="21"/>
          <w:szCs w:val="21"/>
        </w:rPr>
        <w:t>附件2-9：</w:t>
      </w:r>
    </w:p>
    <w:p>
      <w:pPr>
        <w:widowControl w:val="0"/>
        <w:kinsoku/>
        <w:topLinePunct/>
        <w:autoSpaceDE/>
        <w:autoSpaceDN/>
        <w:spacing w:before="44" w:line="203" w:lineRule="auto"/>
        <w:ind w:firstLine="54"/>
        <w:jc w:val="center"/>
        <w:rPr>
          <w:color w:val="auto"/>
        </w:rPr>
      </w:pPr>
      <w:r>
        <w:rPr>
          <w:rFonts w:ascii="方正小标宋简体" w:hAnsi="宋体" w:eastAsia="方正小标宋简体" w:cs="宋体"/>
          <w:color w:val="auto"/>
          <w:spacing w:val="-4"/>
          <w:sz w:val="36"/>
          <w:szCs w:val="36"/>
        </w:rPr>
        <w:t>国有资本经营预算支出表</w:t>
      </w:r>
    </w:p>
    <w:p>
      <w:pPr>
        <w:widowControl w:val="0"/>
        <w:kinsoku/>
        <w:topLinePunct/>
        <w:autoSpaceDE/>
        <w:autoSpaceDN/>
        <w:rPr>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tbl>
      <w:tblPr>
        <w:tblStyle w:val="10"/>
        <w:tblW w:w="140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3"/>
        <w:gridCol w:w="4777"/>
        <w:gridCol w:w="2325"/>
        <w:gridCol w:w="2409"/>
        <w:gridCol w:w="2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662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支出功能分类科目</w:t>
            </w:r>
          </w:p>
        </w:tc>
        <w:tc>
          <w:tcPr>
            <w:tcW w:w="7428"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科目编码</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科目名称</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基本支出</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*来</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功能科目编码</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功能科目名称</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基本支出</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 ，则为该部门 （单位） 无国有资本经营预算收支</w:t>
      </w:r>
    </w:p>
    <w:p>
      <w:pPr>
        <w:kinsoku/>
        <w:topLinePunct/>
        <w:autoSpaceDE/>
        <w:autoSpaceDN/>
        <w:adjustRightInd/>
        <w:snapToGrid/>
        <w:textAlignment w:val="auto"/>
        <w:rPr>
          <w:rFonts w:ascii="宋体" w:hAnsi="宋体" w:eastAsia="宋体" w:cs="宋体"/>
          <w:color w:val="auto"/>
        </w:rPr>
      </w:pPr>
      <w:r>
        <w:rPr>
          <w:rFonts w:ascii="宋体" w:hAnsi="宋体" w:eastAsia="宋体" w:cs="宋体"/>
          <w:color w:val="auto"/>
        </w:rPr>
        <w:br w:type="page"/>
      </w:r>
    </w:p>
    <w:p>
      <w:pPr>
        <w:widowControl w:val="0"/>
        <w:kinsoku/>
        <w:topLinePunct/>
        <w:autoSpaceDE/>
        <w:autoSpaceDN/>
        <w:rPr>
          <w:rFonts w:ascii="宋体" w:hAnsi="宋体" w:eastAsia="宋体" w:cs="宋体"/>
          <w:color w:val="auto"/>
        </w:rPr>
        <w:sectPr>
          <w:pgSz w:w="16850" w:h="11910" w:orient="landscape"/>
          <w:pgMar w:top="1418" w:right="1418" w:bottom="1418" w:left="1418" w:header="851" w:footer="992" w:gutter="0"/>
          <w:pgNumType w:fmt="numberInDash"/>
          <w:cols w:space="720" w:num="1"/>
          <w:docGrid w:linePitch="286" w:charSpace="0"/>
        </w:sectPr>
      </w:pP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附件3-1：</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项目支出绩效目标表（202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年度）</w:t>
      </w:r>
    </w:p>
    <w:p>
      <w:pPr>
        <w:widowControl w:val="0"/>
        <w:kinsoku/>
        <w:topLinePunct/>
        <w:autoSpaceDE/>
        <w:autoSpaceDN/>
        <w:rPr>
          <w:color w:val="auto"/>
        </w:rPr>
      </w:pPr>
    </w:p>
    <w:tbl>
      <w:tblPr>
        <w:tblStyle w:val="10"/>
        <w:tblW w:w="90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436"/>
        <w:gridCol w:w="2018"/>
        <w:gridCol w:w="1499"/>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项目名称</w:t>
            </w:r>
          </w:p>
        </w:tc>
        <w:tc>
          <w:tcPr>
            <w:tcW w:w="6429" w:type="dxa"/>
            <w:gridSpan w:val="3"/>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清扫专项经费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主管部门</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c>
          <w:tcPr>
            <w:tcW w:w="14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实施单位</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项目属性</w:t>
            </w:r>
          </w:p>
        </w:tc>
        <w:tc>
          <w:tcPr>
            <w:tcW w:w="201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当年项目</w:t>
            </w:r>
          </w:p>
        </w:tc>
        <w:tc>
          <w:tcPr>
            <w:tcW w:w="14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项目日期范围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2023.01.01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项目资金</w:t>
            </w:r>
          </w:p>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（万元）</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年度资金总额</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589700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2583"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其中：财政拨款</w:t>
            </w:r>
          </w:p>
        </w:tc>
        <w:tc>
          <w:tcPr>
            <w:tcW w:w="4411" w:type="dxa"/>
            <w:gridSpan w:val="2"/>
            <w:tcBorders>
              <w:top w:val="single" w:color="000000" w:sz="2" w:space="0"/>
              <w:bottom w:val="single" w:color="000000" w:sz="2" w:space="0"/>
            </w:tcBorders>
            <w:vAlign w:val="center"/>
          </w:tcPr>
          <w:p>
            <w:pPr>
              <w:widowControl w:val="0"/>
              <w:tabs>
                <w:tab w:val="left" w:pos="1663"/>
              </w:tabs>
              <w:kinsoku/>
              <w:topLinePunct/>
              <w:autoSpaceDE/>
              <w:autoSpaceDN/>
              <w:ind w:left="42" w:leftChars="20" w:right="42" w:rightChars="20"/>
              <w:jc w:val="left"/>
              <w:rPr>
                <w:rFonts w:hint="eastAsia" w:eastAsia="宋体"/>
                <w:color w:val="auto"/>
                <w:lang w:eastAsia="zh-CN"/>
              </w:rPr>
            </w:pPr>
            <w:r>
              <w:rPr>
                <w:rFonts w:hint="eastAsia" w:eastAsia="宋体"/>
                <w:color w:val="auto"/>
                <w:lang w:eastAsia="zh-CN"/>
              </w:rPr>
              <w:tab/>
            </w:r>
            <w:r>
              <w:rPr>
                <w:rFonts w:hint="eastAsia" w:eastAsia="宋体"/>
                <w:color w:val="auto"/>
                <w:lang w:eastAsia="zh-CN"/>
              </w:rPr>
              <w:t>589700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sz w:val="18"/>
                <w:szCs w:val="18"/>
              </w:rPr>
              <w:t>全力抓好市政环卫设施的管护工作，全力整治开放式居民区，切实改善了居民区市容环境，进一步提高村、市民的文明意识、卫生意识、环境意识，营造城市管理人人参与、齐抓共管的良好氛围。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3517"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产出指标</w:t>
            </w: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数量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清扫路面覆盖率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234400平方米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47" w:type="dxa"/>
            <w:vMerge w:val="continue"/>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1436" w:type="dxa"/>
            <w:vMerge w:val="continue"/>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道路清洗周均频次率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每周两次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设施运行充足率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每次两台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质量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垃圾处理及时率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路面清扫超时率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时效</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完成及时率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成本</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清扫保洁人力成本</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28.97万元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基础设施完善成本</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效益指标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社会效益</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提高居民生活舒适率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80%以上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可持续影响</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基础设施改善</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辖区居民满意度</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80%以上</w:t>
            </w:r>
          </w:p>
        </w:tc>
      </w:tr>
    </w:tbl>
    <w:p>
      <w:pPr>
        <w:widowControl w:val="0"/>
        <w:kinsoku/>
        <w:topLinePunct/>
        <w:autoSpaceDE/>
        <w:autoSpaceDN/>
        <w:rPr>
          <w:color w:val="auto"/>
        </w:rPr>
      </w:pP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附件3-1：</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项目支出绩效目标表（202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年度）</w:t>
      </w:r>
    </w:p>
    <w:p>
      <w:pPr>
        <w:widowControl w:val="0"/>
        <w:kinsoku/>
        <w:topLinePunct/>
        <w:autoSpaceDE/>
        <w:autoSpaceDN/>
        <w:rPr>
          <w:color w:val="auto"/>
        </w:rPr>
      </w:pPr>
    </w:p>
    <w:tbl>
      <w:tblPr>
        <w:tblStyle w:val="10"/>
        <w:tblW w:w="90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436"/>
        <w:gridCol w:w="2018"/>
        <w:gridCol w:w="1499"/>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项目名称</w:t>
            </w:r>
          </w:p>
        </w:tc>
        <w:tc>
          <w:tcPr>
            <w:tcW w:w="6429" w:type="dxa"/>
            <w:gridSpan w:val="3"/>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sz w:val="20"/>
                <w:szCs w:val="20"/>
                <w:u w:val="none"/>
                <w:lang w:val="en-US" w:eastAsia="zh-CN" w:bidi="ar-SA"/>
              </w:rPr>
              <w:t>管理处事务工作经费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主管部门</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c>
          <w:tcPr>
            <w:tcW w:w="14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实施单位</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项目属性</w:t>
            </w:r>
          </w:p>
        </w:tc>
        <w:tc>
          <w:tcPr>
            <w:tcW w:w="201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当年项目</w:t>
            </w:r>
          </w:p>
        </w:tc>
        <w:tc>
          <w:tcPr>
            <w:tcW w:w="14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项目日期范围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2023.01.01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项目资金</w:t>
            </w:r>
          </w:p>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（万元）</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年度资金总额</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645000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其中：财政拨款</w:t>
            </w:r>
          </w:p>
        </w:tc>
        <w:tc>
          <w:tcPr>
            <w:tcW w:w="4411" w:type="dxa"/>
            <w:gridSpan w:val="2"/>
            <w:tcBorders>
              <w:top w:val="single" w:color="000000" w:sz="2" w:space="0"/>
              <w:bottom w:val="single" w:color="000000" w:sz="2" w:space="0"/>
            </w:tcBorders>
            <w:vAlign w:val="center"/>
          </w:tcPr>
          <w:p>
            <w:pPr>
              <w:widowControl w:val="0"/>
              <w:tabs>
                <w:tab w:val="left" w:pos="1663"/>
              </w:tabs>
              <w:kinsoku/>
              <w:topLinePunct/>
              <w:autoSpaceDE/>
              <w:autoSpaceDN/>
              <w:ind w:left="42" w:leftChars="20" w:right="42" w:rightChars="20"/>
              <w:jc w:val="left"/>
              <w:rPr>
                <w:rFonts w:hint="default" w:eastAsia="宋体"/>
                <w:color w:val="auto"/>
                <w:lang w:val="en-US" w:eastAsia="zh-CN"/>
              </w:rPr>
            </w:pPr>
            <w:r>
              <w:rPr>
                <w:rFonts w:hint="eastAsia" w:eastAsia="宋体"/>
                <w:color w:val="auto"/>
                <w:lang w:eastAsia="zh-CN"/>
              </w:rPr>
              <w:tab/>
            </w:r>
            <w:r>
              <w:rPr>
                <w:rFonts w:hint="eastAsia" w:eastAsia="宋体"/>
                <w:color w:val="auto"/>
                <w:lang w:val="en-US" w:eastAsia="zh-CN"/>
              </w:rPr>
              <w:t>645000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color w:val="auto"/>
                <w:sz w:val="18"/>
                <w:szCs w:val="18"/>
              </w:rPr>
              <w:t>保障贤士湖管理处正常运转，促进贤士湖管理处事务更好更快进行</w:t>
            </w:r>
            <w:r>
              <w:rPr>
                <w:rFonts w:hint="eastAsia" w:eastAsia="宋体"/>
                <w:color w:val="auto"/>
                <w:sz w:val="18"/>
                <w:szCs w:val="1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3517"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产出指标</w:t>
            </w: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数量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完成贤士湖管理处事务数量</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圆满完成各项工作任务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质量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完成质量</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时效</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完成时间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12月底前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成本</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成本控制率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达到100%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效益指标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社会效益</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带动贤士湖经济发展</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促进贤士湖事务工作效率大幅度提高，带动贤士湖经济更上新台阶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可持续影响</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群众满意度</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95%以上</w:t>
            </w:r>
          </w:p>
        </w:tc>
      </w:tr>
    </w:tbl>
    <w:p>
      <w:pPr>
        <w:widowControl w:val="0"/>
        <w:kinsoku/>
        <w:topLinePunct/>
        <w:autoSpaceDE/>
        <w:autoSpaceDN/>
        <w:spacing w:line="560" w:lineRule="exact"/>
        <w:rPr>
          <w:rFonts w:hint="eastAsia" w:ascii="黑体" w:hAnsi="黑体" w:eastAsia="黑体" w:cs="黑体"/>
          <w:color w:val="auto"/>
          <w:sz w:val="32"/>
          <w:szCs w:val="32"/>
          <w:lang w:val="en-US" w:eastAsia="zh-CN"/>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32"/>
          <w:szCs w:val="32"/>
        </w:rPr>
      </w:pPr>
      <w:r>
        <w:rPr>
          <w:rFonts w:ascii="黑体" w:hAnsi="黑体" w:eastAsia="黑体" w:cs="黑体"/>
          <w:color w:val="auto"/>
          <w:sz w:val="21"/>
          <w:szCs w:val="21"/>
        </w:rPr>
        <w:t>附件3-2：</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年部门整体支出绩效目标表</w:t>
      </w:r>
    </w:p>
    <w:p>
      <w:pPr>
        <w:widowControl w:val="0"/>
        <w:kinsoku/>
        <w:topLinePunct/>
        <w:autoSpaceDE/>
        <w:autoSpaceDN/>
        <w:rPr>
          <w:color w:val="auto"/>
        </w:rPr>
      </w:pPr>
    </w:p>
    <w:tbl>
      <w:tblPr>
        <w:tblStyle w:val="10"/>
        <w:tblW w:w="89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4"/>
        <w:gridCol w:w="436"/>
        <w:gridCol w:w="1958"/>
        <w:gridCol w:w="405"/>
        <w:gridCol w:w="1099"/>
        <w:gridCol w:w="1177"/>
        <w:gridCol w:w="2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1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部门名称</w:t>
            </w:r>
          </w:p>
        </w:tc>
        <w:tc>
          <w:tcPr>
            <w:tcW w:w="7779" w:type="dxa"/>
            <w:gridSpan w:val="6"/>
            <w:tcBorders>
              <w:top w:val="single" w:color="000000" w:sz="2" w:space="0"/>
              <w:bottom w:val="single" w:color="000000" w:sz="2" w:space="0"/>
            </w:tcBorders>
            <w:vAlign w:val="center"/>
          </w:tcPr>
          <w:p>
            <w:pPr>
              <w:keepNext w:val="0"/>
              <w:keepLines w:val="0"/>
              <w:widowControl/>
              <w:suppressLineNumbers w:val="0"/>
              <w:jc w:val="center"/>
              <w:rPr>
                <w:sz w:val="18"/>
                <w:szCs w:val="18"/>
              </w:rPr>
            </w:pPr>
            <w:r>
              <w:rPr>
                <w:rFonts w:hint="eastAsia" w:ascii="宋体" w:hAnsi="宋体" w:eastAsia="宋体" w:cs="宋体"/>
                <w:snapToGrid w:val="0"/>
                <w:color w:val="000000"/>
                <w:kern w:val="0"/>
                <w:sz w:val="18"/>
                <w:szCs w:val="18"/>
                <w:lang w:val="en-US" w:eastAsia="zh-CN" w:bidi="ar"/>
              </w:rPr>
              <w:t>南昌市东湖区人民政府贤士湖管理处</w:t>
            </w:r>
          </w:p>
          <w:p>
            <w:pPr>
              <w:widowControl w:val="0"/>
              <w:kinsoku/>
              <w:topLinePunct/>
              <w:autoSpaceDE/>
              <w:autoSpaceDN/>
              <w:ind w:left="42" w:leftChars="20" w:right="42" w:rightChars="20"/>
              <w:jc w:val="center"/>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11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r>
              <w:rPr>
                <w:rFonts w:ascii="宋体" w:hAnsi="宋体" w:eastAsia="宋体" w:cs="宋体"/>
                <w:color w:val="auto"/>
                <w:sz w:val="18"/>
                <w:szCs w:val="18"/>
              </w:rPr>
              <w:t>联系人</w:t>
            </w:r>
          </w:p>
        </w:tc>
        <w:tc>
          <w:tcPr>
            <w:tcW w:w="2799"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sz w:val="18"/>
                <w:szCs w:val="18"/>
                <w:lang w:val="en-US" w:eastAsia="zh-CN"/>
              </w:rPr>
            </w:pPr>
            <w:r>
              <w:rPr>
                <w:rFonts w:hint="eastAsia" w:eastAsia="宋体"/>
                <w:color w:val="auto"/>
                <w:sz w:val="18"/>
                <w:szCs w:val="18"/>
                <w:lang w:val="en-US" w:eastAsia="zh-CN"/>
              </w:rPr>
              <w:t>罗彦婷</w:t>
            </w:r>
          </w:p>
        </w:tc>
        <w:tc>
          <w:tcPr>
            <w:tcW w:w="10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r>
              <w:rPr>
                <w:rFonts w:ascii="宋体" w:hAnsi="宋体" w:eastAsia="宋体" w:cs="宋体"/>
                <w:color w:val="auto"/>
                <w:sz w:val="18"/>
                <w:szCs w:val="18"/>
              </w:rPr>
              <w:t>联系电话</w:t>
            </w:r>
          </w:p>
        </w:tc>
        <w:tc>
          <w:tcPr>
            <w:tcW w:w="388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13970850089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部门基本信息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部门所属领域</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街办</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直属单位包括</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内设职能部门</w:t>
            </w:r>
          </w:p>
        </w:tc>
        <w:tc>
          <w:tcPr>
            <w:tcW w:w="2363" w:type="dxa"/>
            <w:gridSpan w:val="2"/>
            <w:tcBorders>
              <w:top w:val="single" w:color="000000" w:sz="2" w:space="0"/>
              <w:bottom w:val="single" w:color="000000" w:sz="2" w:space="0"/>
            </w:tcBorders>
            <w:vAlign w:val="center"/>
          </w:tcPr>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党政办公室、公共服务办公室 </w:t>
            </w:r>
          </w:p>
          <w:p>
            <w:pPr>
              <w:keepNext w:val="0"/>
              <w:keepLines w:val="0"/>
              <w:widowControl/>
              <w:suppressLineNumbers w:val="0"/>
              <w:jc w:val="left"/>
              <w:rPr>
                <w:sz w:val="15"/>
                <w:szCs w:val="15"/>
              </w:rPr>
            </w:pPr>
            <w:r>
              <w:rPr>
                <w:rFonts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便民服务中心</w:t>
            </w:r>
            <w:r>
              <w:rPr>
                <w:rFonts w:hint="default"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 xml:space="preserve">、行政执法办公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室（综合行政执法队）、社会治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理办公室（退役军人服务站、综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治中心）、党建办公室</w:t>
            </w:r>
          </w:p>
          <w:p>
            <w:pPr>
              <w:widowControl w:val="0"/>
              <w:kinsoku/>
              <w:topLinePunct/>
              <w:autoSpaceDE/>
              <w:autoSpaceDN/>
              <w:ind w:left="42" w:leftChars="20" w:right="42" w:rightChars="20"/>
              <w:jc w:val="center"/>
              <w:rPr>
                <w:color w:val="auto"/>
              </w:rPr>
            </w:pP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编制控制数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在职人员总数</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15</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其中：行政编制人数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事业编制人数</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14</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编外人数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当年预算情况（万元）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收入预算合计</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其中：上级财政拨款</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本级财政安排</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支出预算合计</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其中：人员经费</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公用经费</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14.01</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项目经费</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268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目标值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 w:hRule="atLeast"/>
          <w:jc w:val="center"/>
        </w:trPr>
        <w:tc>
          <w:tcPr>
            <w:tcW w:w="1630"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产出指标</w:t>
            </w:r>
          </w:p>
        </w:tc>
        <w:tc>
          <w:tcPr>
            <w:tcW w:w="1958" w:type="dxa"/>
            <w:vMerge w:val="restart"/>
            <w:tcBorders>
              <w:top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数量指标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完成安置房分配数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&gt;=1000 </w:t>
            </w:r>
            <w:r>
              <w:rPr>
                <w:rFonts w:hint="eastAsia" w:ascii="宋体" w:hAnsi="宋体" w:eastAsia="宋体" w:cs="宋体"/>
                <w:snapToGrid w:val="0"/>
                <w:color w:val="000000"/>
                <w:kern w:val="0"/>
                <w:sz w:val="15"/>
                <w:szCs w:val="15"/>
                <w:lang w:val="en-US" w:eastAsia="zh-CN" w:bidi="ar"/>
              </w:rPr>
              <w:t>套</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小区环境综合整治数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&gt;=2 </w:t>
            </w:r>
            <w:r>
              <w:rPr>
                <w:rFonts w:hint="eastAsia" w:ascii="宋体" w:hAnsi="宋体" w:eastAsia="宋体" w:cs="宋体"/>
                <w:snapToGrid w:val="0"/>
                <w:color w:val="000000"/>
                <w:kern w:val="0"/>
                <w:sz w:val="15"/>
                <w:szCs w:val="15"/>
                <w:lang w:val="en-US" w:eastAsia="zh-CN" w:bidi="ar"/>
              </w:rPr>
              <w:t>个</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历史遗留地块征迁拆除数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&gt;=3 </w:t>
            </w:r>
            <w:r>
              <w:rPr>
                <w:rFonts w:hint="eastAsia" w:ascii="宋体" w:hAnsi="宋体" w:eastAsia="宋体" w:cs="宋体"/>
                <w:snapToGrid w:val="0"/>
                <w:color w:val="000000"/>
                <w:kern w:val="0"/>
                <w:sz w:val="15"/>
                <w:szCs w:val="15"/>
                <w:lang w:val="en-US" w:eastAsia="zh-CN" w:bidi="ar"/>
              </w:rPr>
              <w:t>栋</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引进千万元项目</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&gt;=10 </w:t>
            </w:r>
            <w:r>
              <w:rPr>
                <w:rFonts w:hint="eastAsia" w:ascii="宋体" w:hAnsi="宋体" w:eastAsia="宋体" w:cs="宋体"/>
                <w:snapToGrid w:val="0"/>
                <w:color w:val="000000"/>
                <w:kern w:val="0"/>
                <w:sz w:val="15"/>
                <w:szCs w:val="15"/>
                <w:lang w:val="en-US" w:eastAsia="zh-CN" w:bidi="ar"/>
              </w:rPr>
              <w:t>个</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tcBorders>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完成一般预算收入</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&gt;=1180 </w:t>
            </w:r>
            <w:r>
              <w:rPr>
                <w:rFonts w:hint="eastAsia" w:ascii="宋体" w:hAnsi="宋体" w:eastAsia="宋体" w:cs="宋体"/>
                <w:snapToGrid w:val="0"/>
                <w:color w:val="000000"/>
                <w:kern w:val="0"/>
                <w:sz w:val="15"/>
                <w:szCs w:val="15"/>
                <w:lang w:val="en-US" w:eastAsia="zh-CN" w:bidi="ar"/>
              </w:rPr>
              <w:t>万元</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restart"/>
            <w:tcBorders>
              <w:top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质量指标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安置房分配进度率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=100%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continue"/>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小区环境综合整治验收合格率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continue"/>
            <w:tcBorders>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历史遗留地块征迁拆除率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=100%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时效指标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年度重点工作完成及时率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&gt;=95%</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630"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成本指标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预算成本节约率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&lt;=80%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1630"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效益指标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经济效益指标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村集体收入稳中有升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社会效益指标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推进“党建</w:t>
            </w:r>
            <w:r>
              <w:rPr>
                <w:rFonts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文化惠民”工程，促进精神</w:t>
            </w:r>
          </w:p>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文明建设</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生态效益指标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推进城中村环境整治，规范村级秩序</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630"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可持续影响指标</w:t>
            </w:r>
          </w:p>
        </w:tc>
        <w:tc>
          <w:tcPr>
            <w:tcW w:w="268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满意度指标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满意度指标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社会公众满意度调查</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&gt;=90%</w:t>
            </w:r>
          </w:p>
          <w:p>
            <w:pPr>
              <w:widowControl w:val="0"/>
              <w:kinsoku/>
              <w:topLinePunct/>
              <w:autoSpaceDE/>
              <w:autoSpaceDN/>
              <w:ind w:left="42" w:leftChars="20" w:right="42" w:rightChars="20"/>
              <w:jc w:val="center"/>
              <w:rPr>
                <w:color w:val="auto"/>
                <w:sz w:val="15"/>
                <w:szCs w:val="15"/>
              </w:rPr>
            </w:pPr>
          </w:p>
        </w:tc>
      </w:tr>
    </w:tbl>
    <w:p>
      <w:pPr>
        <w:widowControl w:val="0"/>
        <w:kinsoku/>
        <w:topLinePunct/>
        <w:autoSpaceDE/>
        <w:autoSpaceDN/>
        <w:rPr>
          <w:color w:val="auto"/>
          <w:sz w:val="15"/>
          <w:szCs w:val="15"/>
        </w:rPr>
      </w:pPr>
    </w:p>
    <w:sectPr>
      <w:pgSz w:w="11910" w:h="16850"/>
      <w:pgMar w:top="1418" w:right="1418" w:bottom="1418" w:left="1418" w:header="851" w:footer="992"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3628"/>
      <w:docPartObj>
        <w:docPartGallery w:val="autotext"/>
      </w:docPartObj>
    </w:sdtPr>
    <w:sdtContent>
      <w:p>
        <w:pPr>
          <w:pStyle w:val="5"/>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- 3 -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3629"/>
      <w:docPartObj>
        <w:docPartGallery w:val="autotext"/>
      </w:docPartObj>
    </w:sdtPr>
    <w:sdtContent>
      <w:p>
        <w:pPr>
          <w:pStyle w:val="5"/>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89657C"/>
    <w:multiLevelType w:val="singleLevel"/>
    <w:tmpl w:val="C389657C"/>
    <w:lvl w:ilvl="0" w:tentative="0">
      <w:start w:val="4"/>
      <w:numFmt w:val="chineseCounting"/>
      <w:suff w:val="space"/>
      <w:lvlText w:val="第%1部分"/>
      <w:lvlJc w:val="left"/>
      <w:rPr>
        <w:rFonts w:hint="eastAsia"/>
      </w:rPr>
    </w:lvl>
  </w:abstractNum>
  <w:abstractNum w:abstractNumId="1">
    <w:nsid w:val="CF4D41EA"/>
    <w:multiLevelType w:val="singleLevel"/>
    <w:tmpl w:val="CF4D41EA"/>
    <w:lvl w:ilvl="0" w:tentative="0">
      <w:start w:val="2"/>
      <w:numFmt w:val="decimal"/>
      <w:suff w:val="nothing"/>
      <w:lvlText w:val="%1）"/>
      <w:lvlJc w:val="left"/>
      <w:pPr>
        <w:ind w:left="1120" w:leftChars="0" w:firstLine="0" w:firstLineChars="0"/>
      </w:pPr>
    </w:lvl>
  </w:abstractNum>
  <w:abstractNum w:abstractNumId="2">
    <w:nsid w:val="EB6B6B37"/>
    <w:multiLevelType w:val="singleLevel"/>
    <w:tmpl w:val="EB6B6B37"/>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evenAndOddHeaders w:val="1"/>
  <w:drawingGridHorizontalSpacing w:val="105"/>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NjQ4OGZiNTc3NWFkYTgxYjVlNWMwNDBhZTJhMWMifQ=="/>
  </w:docVars>
  <w:rsids>
    <w:rsidRoot w:val="007A2EEF"/>
    <w:rsid w:val="001233D7"/>
    <w:rsid w:val="00270BE1"/>
    <w:rsid w:val="0028001C"/>
    <w:rsid w:val="0035240E"/>
    <w:rsid w:val="0038587E"/>
    <w:rsid w:val="003867C6"/>
    <w:rsid w:val="005F56AC"/>
    <w:rsid w:val="00665BAD"/>
    <w:rsid w:val="007A2EEF"/>
    <w:rsid w:val="008C6F9A"/>
    <w:rsid w:val="00907BBF"/>
    <w:rsid w:val="009D6BFE"/>
    <w:rsid w:val="00EC50FD"/>
    <w:rsid w:val="00F9723E"/>
    <w:rsid w:val="01691A16"/>
    <w:rsid w:val="01B85F94"/>
    <w:rsid w:val="01DD59FB"/>
    <w:rsid w:val="029D1A04"/>
    <w:rsid w:val="032B375B"/>
    <w:rsid w:val="03822237"/>
    <w:rsid w:val="03B04719"/>
    <w:rsid w:val="03CE5F43"/>
    <w:rsid w:val="03D55BD9"/>
    <w:rsid w:val="04D754BC"/>
    <w:rsid w:val="05BC1993"/>
    <w:rsid w:val="06E55C44"/>
    <w:rsid w:val="076C043D"/>
    <w:rsid w:val="077251A3"/>
    <w:rsid w:val="07A46156"/>
    <w:rsid w:val="08AC2EDD"/>
    <w:rsid w:val="08BE37CC"/>
    <w:rsid w:val="08DF0B3D"/>
    <w:rsid w:val="099E1F14"/>
    <w:rsid w:val="09D75426"/>
    <w:rsid w:val="09ED69F7"/>
    <w:rsid w:val="0A9E6890"/>
    <w:rsid w:val="0B52745A"/>
    <w:rsid w:val="0C6A432F"/>
    <w:rsid w:val="0C725B56"/>
    <w:rsid w:val="0C8E44C1"/>
    <w:rsid w:val="0CFB767D"/>
    <w:rsid w:val="0D904269"/>
    <w:rsid w:val="0DB02216"/>
    <w:rsid w:val="0DDD72C7"/>
    <w:rsid w:val="0DE93979"/>
    <w:rsid w:val="0E1E3623"/>
    <w:rsid w:val="0E3969D8"/>
    <w:rsid w:val="0F036722"/>
    <w:rsid w:val="0F735BF1"/>
    <w:rsid w:val="0FDA5C70"/>
    <w:rsid w:val="10054DA7"/>
    <w:rsid w:val="11131AAF"/>
    <w:rsid w:val="113504F7"/>
    <w:rsid w:val="116B365C"/>
    <w:rsid w:val="119A06A2"/>
    <w:rsid w:val="12DC64FA"/>
    <w:rsid w:val="13FA5EF4"/>
    <w:rsid w:val="14313AB6"/>
    <w:rsid w:val="15174525"/>
    <w:rsid w:val="1537321C"/>
    <w:rsid w:val="15DB743E"/>
    <w:rsid w:val="15E769F0"/>
    <w:rsid w:val="16361726"/>
    <w:rsid w:val="169072A3"/>
    <w:rsid w:val="180C5D0A"/>
    <w:rsid w:val="18185587"/>
    <w:rsid w:val="192F13FC"/>
    <w:rsid w:val="19750880"/>
    <w:rsid w:val="19921369"/>
    <w:rsid w:val="1A6745A4"/>
    <w:rsid w:val="1B4072CF"/>
    <w:rsid w:val="1B632FBD"/>
    <w:rsid w:val="1C9D605B"/>
    <w:rsid w:val="1D7D50EB"/>
    <w:rsid w:val="1DD106B2"/>
    <w:rsid w:val="1DE36CC0"/>
    <w:rsid w:val="1EA90CE7"/>
    <w:rsid w:val="1EC57904"/>
    <w:rsid w:val="206C5445"/>
    <w:rsid w:val="21366A7E"/>
    <w:rsid w:val="237114CC"/>
    <w:rsid w:val="238507A2"/>
    <w:rsid w:val="23DC58D9"/>
    <w:rsid w:val="24C21928"/>
    <w:rsid w:val="25182615"/>
    <w:rsid w:val="25805630"/>
    <w:rsid w:val="25845C69"/>
    <w:rsid w:val="26296BB1"/>
    <w:rsid w:val="265754CC"/>
    <w:rsid w:val="26A5448A"/>
    <w:rsid w:val="26E92DBB"/>
    <w:rsid w:val="270F5DA7"/>
    <w:rsid w:val="2761728D"/>
    <w:rsid w:val="279A1B15"/>
    <w:rsid w:val="28697739"/>
    <w:rsid w:val="28CD2CD7"/>
    <w:rsid w:val="28E15521"/>
    <w:rsid w:val="29057462"/>
    <w:rsid w:val="2A703001"/>
    <w:rsid w:val="2A84161B"/>
    <w:rsid w:val="2C300CD1"/>
    <w:rsid w:val="2C4B162F"/>
    <w:rsid w:val="2CAB494C"/>
    <w:rsid w:val="2CAB7921"/>
    <w:rsid w:val="2D5C5ABE"/>
    <w:rsid w:val="2D8A262B"/>
    <w:rsid w:val="2DB14086"/>
    <w:rsid w:val="2DB9142A"/>
    <w:rsid w:val="2DF301D1"/>
    <w:rsid w:val="2E690493"/>
    <w:rsid w:val="2E8B21B7"/>
    <w:rsid w:val="2E945AE0"/>
    <w:rsid w:val="2EC12331"/>
    <w:rsid w:val="2EF31F11"/>
    <w:rsid w:val="2FA84FEB"/>
    <w:rsid w:val="2FC11C09"/>
    <w:rsid w:val="2FFF0249"/>
    <w:rsid w:val="300D4258"/>
    <w:rsid w:val="303C1274"/>
    <w:rsid w:val="307A24E3"/>
    <w:rsid w:val="30DB52C0"/>
    <w:rsid w:val="317F3C36"/>
    <w:rsid w:val="33AC1B75"/>
    <w:rsid w:val="33AC2C34"/>
    <w:rsid w:val="34AA5361"/>
    <w:rsid w:val="34C53772"/>
    <w:rsid w:val="35F5677F"/>
    <w:rsid w:val="360D0596"/>
    <w:rsid w:val="36122745"/>
    <w:rsid w:val="3843006F"/>
    <w:rsid w:val="38B06316"/>
    <w:rsid w:val="39050DB8"/>
    <w:rsid w:val="39451D3A"/>
    <w:rsid w:val="3A744447"/>
    <w:rsid w:val="3B422129"/>
    <w:rsid w:val="3B533939"/>
    <w:rsid w:val="3BAC7C11"/>
    <w:rsid w:val="3C382151"/>
    <w:rsid w:val="3C496A1C"/>
    <w:rsid w:val="3C9618E6"/>
    <w:rsid w:val="3C9E62F2"/>
    <w:rsid w:val="3CA94508"/>
    <w:rsid w:val="3CE90F7A"/>
    <w:rsid w:val="3D0D307C"/>
    <w:rsid w:val="3DA74B34"/>
    <w:rsid w:val="3DE23C97"/>
    <w:rsid w:val="3E304B29"/>
    <w:rsid w:val="3E6D4ECD"/>
    <w:rsid w:val="3ECB3B35"/>
    <w:rsid w:val="3EE004CF"/>
    <w:rsid w:val="3FA255B3"/>
    <w:rsid w:val="407C7C6C"/>
    <w:rsid w:val="409D6291"/>
    <w:rsid w:val="411B55A4"/>
    <w:rsid w:val="41F92C7C"/>
    <w:rsid w:val="4216154E"/>
    <w:rsid w:val="434877D8"/>
    <w:rsid w:val="442671A9"/>
    <w:rsid w:val="443D5D13"/>
    <w:rsid w:val="4447741F"/>
    <w:rsid w:val="44AF71F4"/>
    <w:rsid w:val="44C10289"/>
    <w:rsid w:val="44FF7003"/>
    <w:rsid w:val="4537637C"/>
    <w:rsid w:val="4588349D"/>
    <w:rsid w:val="45C269AF"/>
    <w:rsid w:val="463905B1"/>
    <w:rsid w:val="46C6602A"/>
    <w:rsid w:val="46D760FC"/>
    <w:rsid w:val="46EB0B22"/>
    <w:rsid w:val="46F96A11"/>
    <w:rsid w:val="47806F56"/>
    <w:rsid w:val="486F624E"/>
    <w:rsid w:val="488F0C66"/>
    <w:rsid w:val="48BB76E5"/>
    <w:rsid w:val="48CD0933"/>
    <w:rsid w:val="49D81BD6"/>
    <w:rsid w:val="4A7F4957"/>
    <w:rsid w:val="4BFA71E9"/>
    <w:rsid w:val="4C111CCC"/>
    <w:rsid w:val="4D0C5E0D"/>
    <w:rsid w:val="4D64034B"/>
    <w:rsid w:val="4FE85264"/>
    <w:rsid w:val="504B29FB"/>
    <w:rsid w:val="504D0B67"/>
    <w:rsid w:val="51363DAD"/>
    <w:rsid w:val="51711289"/>
    <w:rsid w:val="5189228F"/>
    <w:rsid w:val="518E7DF8"/>
    <w:rsid w:val="51D20777"/>
    <w:rsid w:val="524349D3"/>
    <w:rsid w:val="52637CA8"/>
    <w:rsid w:val="52BD3BF0"/>
    <w:rsid w:val="55110445"/>
    <w:rsid w:val="551322A2"/>
    <w:rsid w:val="554F7B33"/>
    <w:rsid w:val="5559450E"/>
    <w:rsid w:val="559E724D"/>
    <w:rsid w:val="55D63DB0"/>
    <w:rsid w:val="56040631"/>
    <w:rsid w:val="565A678F"/>
    <w:rsid w:val="572528F9"/>
    <w:rsid w:val="57BA777E"/>
    <w:rsid w:val="58793E26"/>
    <w:rsid w:val="594669FB"/>
    <w:rsid w:val="59A84022"/>
    <w:rsid w:val="59CF1242"/>
    <w:rsid w:val="59FD7DBC"/>
    <w:rsid w:val="5A5D684E"/>
    <w:rsid w:val="5A603874"/>
    <w:rsid w:val="5A9A53AC"/>
    <w:rsid w:val="5AE825BC"/>
    <w:rsid w:val="5B9C643C"/>
    <w:rsid w:val="5BA93667"/>
    <w:rsid w:val="5BB11B5E"/>
    <w:rsid w:val="5C5733B5"/>
    <w:rsid w:val="5C5C4428"/>
    <w:rsid w:val="5C9B540C"/>
    <w:rsid w:val="5CB36BF9"/>
    <w:rsid w:val="5CC91F79"/>
    <w:rsid w:val="5CE23205"/>
    <w:rsid w:val="5DAF116F"/>
    <w:rsid w:val="5E0218E5"/>
    <w:rsid w:val="5E4915C3"/>
    <w:rsid w:val="5E4A282F"/>
    <w:rsid w:val="5E6155FE"/>
    <w:rsid w:val="5EA901E5"/>
    <w:rsid w:val="5EF24446"/>
    <w:rsid w:val="5FB94E23"/>
    <w:rsid w:val="608069CB"/>
    <w:rsid w:val="619B229A"/>
    <w:rsid w:val="6252216A"/>
    <w:rsid w:val="62A50D92"/>
    <w:rsid w:val="62EA7456"/>
    <w:rsid w:val="63870498"/>
    <w:rsid w:val="642E17D7"/>
    <w:rsid w:val="645C7B76"/>
    <w:rsid w:val="647E4E3D"/>
    <w:rsid w:val="64BF74C3"/>
    <w:rsid w:val="64FE3585"/>
    <w:rsid w:val="65301C31"/>
    <w:rsid w:val="65580EF3"/>
    <w:rsid w:val="66FA4DE7"/>
    <w:rsid w:val="687F7DF0"/>
    <w:rsid w:val="6925245C"/>
    <w:rsid w:val="694B164C"/>
    <w:rsid w:val="6B8D21A8"/>
    <w:rsid w:val="6BB87C0A"/>
    <w:rsid w:val="6BDB75D3"/>
    <w:rsid w:val="6C163A2B"/>
    <w:rsid w:val="6C6658B0"/>
    <w:rsid w:val="6CA91BEC"/>
    <w:rsid w:val="6CB25662"/>
    <w:rsid w:val="6CE60925"/>
    <w:rsid w:val="6D485F0B"/>
    <w:rsid w:val="6DA560EA"/>
    <w:rsid w:val="6DC839A7"/>
    <w:rsid w:val="6DF32115"/>
    <w:rsid w:val="6E414065"/>
    <w:rsid w:val="6EE669BA"/>
    <w:rsid w:val="708F3550"/>
    <w:rsid w:val="717007BD"/>
    <w:rsid w:val="72275320"/>
    <w:rsid w:val="7365240C"/>
    <w:rsid w:val="737E150A"/>
    <w:rsid w:val="737F599B"/>
    <w:rsid w:val="73D47729"/>
    <w:rsid w:val="74051691"/>
    <w:rsid w:val="75F47C0F"/>
    <w:rsid w:val="7799185F"/>
    <w:rsid w:val="77DF669D"/>
    <w:rsid w:val="781A7FD5"/>
    <w:rsid w:val="785F314C"/>
    <w:rsid w:val="788259A6"/>
    <w:rsid w:val="78AC47D1"/>
    <w:rsid w:val="796B39F2"/>
    <w:rsid w:val="7A680BCB"/>
    <w:rsid w:val="7AB570D9"/>
    <w:rsid w:val="7AEB7713"/>
    <w:rsid w:val="7B073FEC"/>
    <w:rsid w:val="7B825019"/>
    <w:rsid w:val="7C72298D"/>
    <w:rsid w:val="7CED5941"/>
    <w:rsid w:val="7CF214EB"/>
    <w:rsid w:val="7D07647A"/>
    <w:rsid w:val="7D160FD2"/>
    <w:rsid w:val="7D32101D"/>
    <w:rsid w:val="7D5823F5"/>
    <w:rsid w:val="7D5C46C9"/>
    <w:rsid w:val="7D9903CF"/>
    <w:rsid w:val="7EE54599"/>
    <w:rsid w:val="7F6B48AC"/>
    <w:rsid w:val="7FBF30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cs="Times New Roman"/>
    </w:rPr>
  </w:style>
  <w:style w:type="paragraph" w:styleId="3">
    <w:name w:val="Body Text Indent"/>
    <w:basedOn w:val="1"/>
    <w:qFormat/>
    <w:uiPriority w:val="0"/>
    <w:pPr>
      <w:spacing w:after="120"/>
      <w:ind w:left="420" w:leftChars="200"/>
    </w:pPr>
    <w:rPr>
      <w:rFonts w:ascii="等线" w:hAnsi="等线" w:eastAsia="等线"/>
    </w:rPr>
  </w:style>
  <w:style w:type="paragraph" w:styleId="4">
    <w:name w:val="Balloon Text"/>
    <w:basedOn w:val="1"/>
    <w:link w:val="13"/>
    <w:qFormat/>
    <w:uiPriority w:val="0"/>
    <w:rPr>
      <w:sz w:val="18"/>
      <w:szCs w:val="18"/>
    </w:rPr>
  </w:style>
  <w:style w:type="paragraph" w:styleId="5">
    <w:name w:val="footer"/>
    <w:basedOn w:val="1"/>
    <w:link w:val="14"/>
    <w:qFormat/>
    <w:uiPriority w:val="99"/>
    <w:pPr>
      <w:tabs>
        <w:tab w:val="center" w:pos="4153"/>
        <w:tab w:val="right" w:pos="8306"/>
      </w:tabs>
    </w:pPr>
    <w:rPr>
      <w:sz w:val="18"/>
      <w:szCs w:val="18"/>
    </w:rPr>
  </w:style>
  <w:style w:type="paragraph" w:styleId="6">
    <w:name w:val="header"/>
    <w:basedOn w:val="1"/>
    <w:qFormat/>
    <w:uiPriority w:val="0"/>
    <w:pPr>
      <w:pBdr>
        <w:bottom w:val="single" w:color="auto" w:sz="6" w:space="1"/>
      </w:pBdr>
      <w:tabs>
        <w:tab w:val="center" w:pos="4153"/>
        <w:tab w:val="right" w:pos="8306"/>
      </w:tabs>
      <w:jc w:val="center"/>
    </w:pPr>
    <w:rPr>
      <w:sz w:val="18"/>
      <w:szCs w:val="18"/>
    </w:rPr>
  </w:style>
  <w:style w:type="paragraph" w:styleId="7">
    <w:name w:val="Normal (Web)"/>
    <w:basedOn w:val="1"/>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4"/>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p0"/>
    <w:basedOn w:val="1"/>
    <w:qFormat/>
    <w:uiPriority w:val="0"/>
    <w:rPr>
      <w:rFonts w:ascii="Times New Roman" w:hAnsi="Times New Roman" w:eastAsia="宋体" w:cs="Times New Roman"/>
    </w:rPr>
  </w:style>
  <w:style w:type="character" w:customStyle="1" w:styleId="12">
    <w:name w:val="row_tree_level_4"/>
    <w:basedOn w:val="9"/>
    <w:qFormat/>
    <w:uiPriority w:val="0"/>
  </w:style>
  <w:style w:type="character" w:customStyle="1" w:styleId="13">
    <w:name w:val="批注框文本 Char"/>
    <w:basedOn w:val="9"/>
    <w:link w:val="4"/>
    <w:qFormat/>
    <w:uiPriority w:val="0"/>
    <w:rPr>
      <w:rFonts w:eastAsia="Arial"/>
      <w:snapToGrid w:val="0"/>
      <w:color w:val="000000"/>
      <w:sz w:val="18"/>
      <w:szCs w:val="18"/>
    </w:rPr>
  </w:style>
  <w:style w:type="character" w:customStyle="1" w:styleId="14">
    <w:name w:val="页脚 Char"/>
    <w:basedOn w:val="9"/>
    <w:link w:val="5"/>
    <w:qFormat/>
    <w:uiPriority w:val="99"/>
    <w:rPr>
      <w:rFonts w:eastAsia="Arial"/>
      <w:snapToGrid w:val="0"/>
      <w:color w:val="000000"/>
      <w:sz w:val="18"/>
      <w:szCs w:val="18"/>
    </w:rPr>
  </w:style>
  <w:style w:type="paragraph" w:customStyle="1" w:styleId="15">
    <w:name w:val="列出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5CC011-151F-49FC-B429-6C6AC0954EFC}">
  <ds:schemaRefs/>
</ds:datastoreItem>
</file>

<file path=docProps/app.xml><?xml version="1.0" encoding="utf-8"?>
<Properties xmlns="http://schemas.openxmlformats.org/officeDocument/2006/extended-properties" xmlns:vt="http://schemas.openxmlformats.org/officeDocument/2006/docPropsVTypes">
  <Template>Normal</Template>
  <Pages>26</Pages>
  <Words>8533</Words>
  <Characters>9978</Characters>
  <Lines>65</Lines>
  <Paragraphs>18</Paragraphs>
  <TotalTime>108</TotalTime>
  <ScaleCrop>false</ScaleCrop>
  <LinksUpToDate>false</LinksUpToDate>
  <CharactersWithSpaces>11504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2022-03-02T07:49:00Z</dcterms:created>
  <dc:creator>NOIR</dc:creator>
  <cp:lastModifiedBy>葶葶</cp:lastModifiedBy>
  <dcterms:modified xsi:type="dcterms:W3CDTF">2023-02-23T06:28:22Z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2022-02-28T10:39:59Z</vt:filetime>
  </property>
  <property fmtid="{D5CDD505-2E9C-101B-9397-08002B2CF9AE}" pid="4" name="KSOProductBuildVer">
    <vt:lpwstr>2052-11.1.0.12980</vt:lpwstr>
  </property>
  <property fmtid="{D5CDD505-2E9C-101B-9397-08002B2CF9AE}" pid="5" name="ICV">
    <vt:lpwstr>CCD64B443A9A4192AB5578F6C3E28F03</vt:lpwstr>
  </property>
</Properties>
</file>