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宋体" w:eastAsia="黑体" w:cs="Arial"/>
          <w:bCs/>
          <w:color w:val="auto"/>
          <w:sz w:val="32"/>
          <w:szCs w:val="32"/>
          <w:highlight w:val="none"/>
        </w:rPr>
      </w:pPr>
    </w:p>
    <w:p>
      <w:pPr>
        <w:jc w:val="left"/>
        <w:rPr>
          <w:rFonts w:ascii="黑体" w:hAnsi="黑体" w:eastAsia="黑体" w:cs="黑体"/>
          <w:bCs/>
          <w:color w:val="auto"/>
          <w:sz w:val="24"/>
          <w:szCs w:val="24"/>
          <w:highlight w:val="none"/>
        </w:rPr>
      </w:pPr>
    </w:p>
    <w:p>
      <w:pPr>
        <w:keepNext w:val="0"/>
        <w:keepLines w:val="0"/>
        <w:pageBreakBefore w:val="0"/>
        <w:kinsoku/>
        <w:wordWrap/>
        <w:overflowPunct/>
        <w:topLinePunct w:val="0"/>
        <w:autoSpaceDE/>
        <w:autoSpaceDN/>
        <w:bidi w:val="0"/>
        <w:adjustRightInd/>
        <w:spacing w:line="560" w:lineRule="exact"/>
        <w:jc w:val="center"/>
        <w:textAlignment w:val="auto"/>
        <w:rPr>
          <w:rFonts w:hint="eastAsia" w:asciiTheme="majorEastAsia" w:hAnsiTheme="majorEastAsia" w:eastAsiaTheme="majorEastAsia" w:cstheme="majorEastAsia"/>
          <w:b/>
          <w:bCs/>
          <w:color w:val="auto"/>
          <w:sz w:val="44"/>
          <w:szCs w:val="44"/>
          <w:highlight w:val="none"/>
          <w:lang w:eastAsia="zh-CN"/>
        </w:rPr>
      </w:pPr>
      <w:r>
        <w:drawing>
          <wp:anchor distT="0" distB="0" distL="0" distR="0" simplePos="0" relativeHeight="251659264" behindDoc="0" locked="0" layoutInCell="1" allowOverlap="1">
            <wp:simplePos x="0" y="0"/>
            <wp:positionH relativeFrom="column">
              <wp:posOffset>3759200</wp:posOffset>
            </wp:positionH>
            <wp:positionV relativeFrom="paragraph">
              <wp:posOffset>180340</wp:posOffset>
            </wp:positionV>
            <wp:extent cx="1581150" cy="1574800"/>
            <wp:effectExtent l="0" t="0" r="635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6"/>
                    <a:stretch>
                      <a:fillRect/>
                    </a:stretch>
                  </pic:blipFill>
                  <pic:spPr>
                    <a:xfrm>
                      <a:off x="0" y="0"/>
                      <a:ext cx="1581150" cy="1574800"/>
                    </a:xfrm>
                    <a:prstGeom prst="rect">
                      <a:avLst/>
                    </a:prstGeom>
                  </pic:spPr>
                </pic:pic>
              </a:graphicData>
            </a:graphic>
          </wp:anchor>
        </w:drawing>
      </w:r>
      <w:r>
        <w:rPr>
          <w:rFonts w:hint="eastAsia" w:asciiTheme="majorEastAsia" w:hAnsiTheme="majorEastAsia" w:eastAsiaTheme="majorEastAsia" w:cstheme="majorEastAsia"/>
          <w:b/>
          <w:bCs/>
          <w:color w:val="auto"/>
          <w:sz w:val="44"/>
          <w:szCs w:val="44"/>
          <w:highlight w:val="none"/>
        </w:rPr>
        <w:t xml:space="preserve"> </w:t>
      </w:r>
      <w:r>
        <w:rPr>
          <w:rFonts w:hint="eastAsia" w:asciiTheme="majorEastAsia" w:hAnsiTheme="majorEastAsia" w:eastAsiaTheme="majorEastAsia" w:cstheme="majorEastAsia"/>
          <w:b/>
          <w:bCs/>
          <w:color w:val="auto"/>
          <w:sz w:val="44"/>
          <w:szCs w:val="44"/>
          <w:highlight w:val="none"/>
          <w:lang w:eastAsia="zh-CN"/>
        </w:rPr>
        <w:t>南昌市东湖区人民政府董家窑街道办事处</w:t>
      </w:r>
    </w:p>
    <w:p>
      <w:pPr>
        <w:keepNext w:val="0"/>
        <w:keepLines w:val="0"/>
        <w:pageBreakBefore w:val="0"/>
        <w:kinsoku/>
        <w:wordWrap/>
        <w:overflowPunct/>
        <w:topLinePunct w:val="0"/>
        <w:autoSpaceDE/>
        <w:autoSpaceDN/>
        <w:bidi w:val="0"/>
        <w:adjustRightInd/>
        <w:spacing w:line="560" w:lineRule="exact"/>
        <w:jc w:val="center"/>
        <w:textAlignment w:val="auto"/>
        <w:rPr>
          <w:rFonts w:hint="eastAsia" w:asciiTheme="majorEastAsia" w:hAnsiTheme="majorEastAsia" w:eastAsiaTheme="majorEastAsia" w:cstheme="majorEastAsia"/>
          <w:b/>
          <w:bCs/>
          <w:color w:val="auto"/>
          <w:sz w:val="44"/>
          <w:szCs w:val="44"/>
          <w:highlight w:val="none"/>
        </w:rPr>
      </w:pPr>
      <w:r>
        <w:rPr>
          <w:rFonts w:hint="eastAsia" w:asciiTheme="majorEastAsia" w:hAnsiTheme="majorEastAsia" w:eastAsiaTheme="majorEastAsia" w:cstheme="majorEastAsia"/>
          <w:b/>
          <w:bCs/>
          <w:color w:val="auto"/>
          <w:sz w:val="44"/>
          <w:szCs w:val="44"/>
          <w:highlight w:val="none"/>
          <w:lang w:eastAsia="zh-CN"/>
        </w:rPr>
        <w:t>2025年</w:t>
      </w:r>
      <w:r>
        <w:rPr>
          <w:rFonts w:hint="eastAsia" w:asciiTheme="majorEastAsia" w:hAnsiTheme="majorEastAsia" w:eastAsiaTheme="majorEastAsia" w:cstheme="majorEastAsia"/>
          <w:b/>
          <w:bCs/>
          <w:color w:val="auto"/>
          <w:sz w:val="44"/>
          <w:szCs w:val="44"/>
          <w:highlight w:val="none"/>
        </w:rPr>
        <w:t>度部门项目支出绩效评价报告</w:t>
      </w:r>
    </w:p>
    <w:p>
      <w:pPr>
        <w:keepNext w:val="0"/>
        <w:keepLines w:val="0"/>
        <w:pageBreakBefore w:val="0"/>
        <w:kinsoku/>
        <w:wordWrap/>
        <w:overflowPunct/>
        <w:topLinePunct w:val="0"/>
        <w:autoSpaceDE/>
        <w:autoSpaceDN/>
        <w:bidi w:val="0"/>
        <w:adjustRightInd/>
        <w:spacing w:line="560" w:lineRule="exact"/>
        <w:jc w:val="center"/>
        <w:textAlignment w:val="auto"/>
        <w:rPr>
          <w:rFonts w:ascii="仿宋" w:hAnsi="仿宋" w:eastAsia="仿宋" w:cs="Arial"/>
          <w:b/>
          <w:bCs/>
          <w:color w:val="auto"/>
          <w:sz w:val="44"/>
          <w:szCs w:val="44"/>
          <w:highlight w:val="none"/>
        </w:rPr>
      </w:pPr>
    </w:p>
    <w:p>
      <w:pPr>
        <w:pStyle w:val="4"/>
        <w:spacing w:before="260" w:line="396" w:lineRule="auto"/>
        <w:ind w:left="38" w:right="101" w:firstLine="552"/>
        <w:jc w:val="both"/>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财政支出绩效评价从深化部门预算改革，加强预算绩效管理 的实际，通过科学合理的方法，客观公正地评价财政预算资金使 用的经济性、效率性和效益性，是强化部门预算支出责任、改善 财政预算支出管理、优化资源配置以及提高公共服务水平的重要手段。</w:t>
      </w:r>
    </w:p>
    <w:p>
      <w:pPr>
        <w:pStyle w:val="4"/>
        <w:spacing w:before="260" w:line="396" w:lineRule="auto"/>
        <w:ind w:left="38" w:right="101" w:firstLine="552"/>
        <w:jc w:val="both"/>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为进一步加强绩效管理水平，强化支持责任，提高财政资金</w:t>
      </w:r>
      <w:bookmarkStart w:id="0" w:name="_GoBack"/>
      <w:bookmarkEnd w:id="0"/>
      <w:r>
        <w:rPr>
          <w:rFonts w:hint="eastAsia" w:ascii="仿宋_GB2312" w:hAnsi="仿宋_GB2312" w:eastAsia="仿宋_GB2312" w:cs="仿宋_GB2312"/>
          <w:b w:val="0"/>
          <w:color w:val="auto"/>
          <w:kern w:val="2"/>
          <w:sz w:val="32"/>
          <w:szCs w:val="32"/>
          <w:highlight w:val="none"/>
          <w:lang w:val="en-US" w:eastAsia="zh-CN" w:bidi="ar-SA"/>
        </w:rPr>
        <w:t>使用效益，建立科学、合理的财政支出绩效评价管理体系，根据《南昌市财政局关于开展2025年度全市预算单位自评及部门评价工作的通知》（洪财绩〔2026〕1号）文件精神，运用科学、合理的评价方法对单位申报项目预算时明确的绩效指标完成情况进行客观、公正的评价。现将评价情况汇报如下：</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一、基本情况</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（一）项目概况</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1.项目背景</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用于支付贤士湖集贸市场周边小区微改造工程尾款经费。</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2.主要内容及实施情况</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（1）主要内容</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用于支付贤士湖集贸市场周边小区微改造工程尾款经费。</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（2）实施情况</w:t>
      </w:r>
    </w:p>
    <w:p>
      <w:pPr>
        <w:pStyle w:val="4"/>
        <w:spacing w:before="91" w:line="411" w:lineRule="auto"/>
        <w:ind w:left="31" w:firstLine="561"/>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2025年本单位积极开展实施已立项的项目，按计划完成了“贤士湖集贸市场周边小区微改造项目经费”的发放工作。</w:t>
      </w:r>
    </w:p>
    <w:p>
      <w:pPr>
        <w:keepNext w:val="0"/>
        <w:keepLines w:val="0"/>
        <w:pageBreakBefore w:val="0"/>
        <w:numPr>
          <w:ilvl w:val="0"/>
          <w:numId w:val="1"/>
        </w:numPr>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资金投入和使用情况</w:t>
      </w:r>
    </w:p>
    <w:p>
      <w:pPr>
        <w:pStyle w:val="4"/>
        <w:spacing w:before="289" w:line="411" w:lineRule="auto"/>
        <w:ind w:left="34" w:firstLine="551"/>
        <w:jc w:val="both"/>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资金投入：“贤士湖集贸市场周边小区微改造项目经费”项目资金来源区级财政拨款，年初预算安排76.85万元，2025年实际到位76.35万元。</w:t>
      </w:r>
    </w:p>
    <w:p>
      <w:pPr>
        <w:pStyle w:val="4"/>
        <w:spacing w:before="289" w:line="411" w:lineRule="auto"/>
        <w:ind w:left="34" w:firstLine="551"/>
        <w:jc w:val="both"/>
        <w:rPr>
          <w:rFonts w:hint="default"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val="0"/>
          <w:color w:val="auto"/>
          <w:kern w:val="2"/>
          <w:sz w:val="32"/>
          <w:szCs w:val="32"/>
          <w:highlight w:val="none"/>
          <w:lang w:val="en-US" w:eastAsia="zh-CN" w:bidi="ar-SA"/>
        </w:rPr>
        <w:t>资金使用：2025年度“贤士湖集贸市场周边小区微改造项目经费”实际支出 76.35万元，预算资金执行率 97.43%。</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（二）项目绩效目标</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1.总体目标</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用于支付贤士湖集贸市场周边小区微改造工程尾款。</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2.阶段性目标</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完成2025年度用于支付贤士湖集贸市场周边小区微改造工程尾款。</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二、绩效评价工作开展情况</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（一）绩效评价目的、对象和范围</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次绩效评价从项目执行过程中的投入、管理制度建设、资金使用规范性、项目资金的使用和产出效果等多个方面，全面评价项目绩效状况。目的是为今后项目实施方向及管理方式改进提供指导，逐步树立以结果为导向的预算观。针对项目执行过程中存在的问题及不足，提出针对性改进意见，以促进项目单位的项目管理水平，提升政策实施效果和财政资金使用效益，为预算资金安排和完善提供参考。评价范围是</w:t>
      </w:r>
      <w:r>
        <w:rPr>
          <w:rFonts w:hint="eastAsia" w:ascii="仿宋_GB2312" w:hAnsi="仿宋_GB2312" w:eastAsia="仿宋_GB2312" w:cs="仿宋_GB2312"/>
          <w:color w:val="auto"/>
          <w:sz w:val="32"/>
          <w:szCs w:val="32"/>
          <w:highlight w:val="none"/>
          <w:lang w:eastAsia="zh-CN"/>
        </w:rPr>
        <w:t>“贤士湖集贸市场周边小区微改造项目经费”</w:t>
      </w:r>
      <w:r>
        <w:rPr>
          <w:rFonts w:hint="eastAsia" w:ascii="仿宋_GB2312" w:hAnsi="仿宋_GB2312" w:eastAsia="仿宋_GB2312" w:cs="仿宋_GB2312"/>
          <w:color w:val="auto"/>
          <w:sz w:val="32"/>
          <w:szCs w:val="32"/>
          <w:highlight w:val="none"/>
        </w:rPr>
        <w:t>资金</w:t>
      </w:r>
      <w:r>
        <w:rPr>
          <w:rFonts w:hint="eastAsia" w:ascii="仿宋_GB2312" w:hAnsi="仿宋_GB2312" w:eastAsia="仿宋_GB2312" w:cs="仿宋_GB2312"/>
          <w:color w:val="auto"/>
          <w:sz w:val="32"/>
          <w:szCs w:val="32"/>
          <w:highlight w:val="none"/>
          <w:lang w:val="en-US" w:eastAsia="zh-CN"/>
        </w:rPr>
        <w:t>76.85万</w:t>
      </w:r>
      <w:r>
        <w:rPr>
          <w:rFonts w:hint="eastAsia" w:ascii="仿宋_GB2312" w:hAnsi="仿宋_GB2312" w:eastAsia="仿宋_GB2312" w:cs="仿宋_GB2312"/>
          <w:color w:val="auto"/>
          <w:sz w:val="32"/>
          <w:szCs w:val="32"/>
          <w:highlight w:val="none"/>
        </w:rPr>
        <w:t>元。</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（二）绩效评价原则、评价指标体系、评价方法、评价标准</w:t>
      </w:r>
    </w:p>
    <w:p>
      <w:pPr>
        <w:keepNext w:val="0"/>
        <w:keepLines w:val="0"/>
        <w:pageBreakBefore w:val="0"/>
        <w:kinsoku/>
        <w:wordWrap/>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1.绩效评价原则</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2025年“贤士湖集贸市场周边小区微改造项目经费”</w:t>
      </w:r>
      <w:r>
        <w:rPr>
          <w:rFonts w:hint="eastAsia" w:ascii="仿宋_GB2312" w:hAnsi="仿宋_GB2312" w:eastAsia="仿宋_GB2312" w:cs="仿宋_GB2312"/>
          <w:color w:val="auto"/>
          <w:sz w:val="32"/>
          <w:szCs w:val="32"/>
          <w:highlight w:val="none"/>
        </w:rPr>
        <w:t>资金支出绩效评价将严格遵守科学规范原则、公正公开原则、分级分类原则以及绩效管理相关原则。</w:t>
      </w:r>
    </w:p>
    <w:p>
      <w:pPr>
        <w:keepNext w:val="0"/>
        <w:keepLines w:val="0"/>
        <w:pageBreakBefore w:val="0"/>
        <w:kinsoku/>
        <w:wordWrap/>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2.评价指标体系</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财政部《预算绩效评价共性指标体系框架》等文件精神，确定本次绩效评价指标的整体框架，结合项目目标以及项目实施要求、申报要求、专项资金发放效果等内容，确定本次绩效评价指标体系的个性指标，具体详见《项目支出绩效评分表》，指标数据来源于相关法规、政府文件、基础数据采集、问卷调查和访谈等。</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评价指标体系表</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主要包括决策，过程，产出，效益四个方面，满分</w:t>
      </w:r>
      <w:r>
        <w:rPr>
          <w:rFonts w:hint="eastAsia" w:ascii="仿宋_GB2312" w:hAnsi="仿宋_GB2312" w:eastAsia="仿宋_GB2312" w:cs="仿宋_GB2312"/>
          <w:color w:val="auto"/>
          <w:sz w:val="32"/>
          <w:szCs w:val="32"/>
          <w:highlight w:val="none"/>
        </w:rPr>
        <w:t>共 100 分。分值≥90 分，评价结果为“优”; 80分≤分值&lt;90 分，评价结果为“良”；60 分≤分值&lt;80 分，评价结果为“中”；分值&lt;60 分，评价结果为“差”。</w:t>
      </w:r>
    </w:p>
    <w:tbl>
      <w:tblPr>
        <w:tblStyle w:val="8"/>
        <w:tblpPr w:leftFromText="180" w:rightFromText="180" w:vertAnchor="text" w:horzAnchor="page" w:tblpX="1517" w:tblpY="57"/>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126"/>
        <w:gridCol w:w="3118"/>
        <w:gridCol w:w="198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99" w:hRule="atLeast"/>
        </w:trPr>
        <w:tc>
          <w:tcPr>
            <w:tcW w:w="1565" w:type="dxa"/>
            <w:vAlign w:val="center"/>
          </w:tcPr>
          <w:p>
            <w:pPr>
              <w:autoSpaceDE/>
              <w:autoSpaceDN/>
              <w:spacing w:line="220" w:lineRule="exact"/>
              <w:ind w:right="265"/>
              <w:jc w:val="center"/>
              <w:rPr>
                <w:rFonts w:ascii="Times New Roman" w:hAnsi="Times New Roman" w:eastAsia="仿宋" w:cs="Times New Roman"/>
                <w:b/>
                <w:color w:val="auto"/>
                <w:kern w:val="2"/>
                <w:sz w:val="21"/>
                <w:szCs w:val="20"/>
                <w:highlight w:val="none"/>
                <w:lang w:eastAsia="zh-CN"/>
              </w:rPr>
            </w:pPr>
            <w:r>
              <w:rPr>
                <w:rFonts w:ascii="Times New Roman" w:hAnsi="Times New Roman" w:eastAsia="仿宋" w:cs="Times New Roman"/>
                <w:b/>
                <w:color w:val="auto"/>
                <w:kern w:val="2"/>
                <w:sz w:val="21"/>
                <w:szCs w:val="20"/>
                <w:highlight w:val="none"/>
                <w:lang w:eastAsia="zh-CN"/>
              </w:rPr>
              <w:t>一级指标</w:t>
            </w:r>
          </w:p>
        </w:tc>
        <w:tc>
          <w:tcPr>
            <w:tcW w:w="2126" w:type="dxa"/>
            <w:vAlign w:val="center"/>
          </w:tcPr>
          <w:p>
            <w:pPr>
              <w:autoSpaceDE/>
              <w:autoSpaceDN/>
              <w:spacing w:line="220" w:lineRule="exact"/>
              <w:jc w:val="center"/>
              <w:rPr>
                <w:rFonts w:ascii="Times New Roman" w:hAnsi="Times New Roman" w:eastAsia="仿宋" w:cs="Times New Roman"/>
                <w:b/>
                <w:color w:val="auto"/>
                <w:kern w:val="2"/>
                <w:sz w:val="21"/>
                <w:szCs w:val="20"/>
                <w:highlight w:val="none"/>
                <w:lang w:eastAsia="zh-CN"/>
              </w:rPr>
            </w:pPr>
            <w:r>
              <w:rPr>
                <w:rFonts w:ascii="Times New Roman" w:hAnsi="Times New Roman" w:eastAsia="仿宋" w:cs="Times New Roman"/>
                <w:b/>
                <w:color w:val="auto"/>
                <w:kern w:val="2"/>
                <w:sz w:val="21"/>
                <w:szCs w:val="20"/>
                <w:highlight w:val="none"/>
                <w:lang w:eastAsia="zh-CN"/>
              </w:rPr>
              <w:t>二级指标</w:t>
            </w:r>
          </w:p>
        </w:tc>
        <w:tc>
          <w:tcPr>
            <w:tcW w:w="3118" w:type="dxa"/>
            <w:vAlign w:val="center"/>
          </w:tcPr>
          <w:p>
            <w:pPr>
              <w:autoSpaceDE/>
              <w:autoSpaceDN/>
              <w:spacing w:line="220" w:lineRule="exact"/>
              <w:jc w:val="center"/>
              <w:rPr>
                <w:rFonts w:ascii="Times New Roman" w:hAnsi="Times New Roman" w:eastAsia="仿宋" w:cs="Times New Roman"/>
                <w:b/>
                <w:color w:val="auto"/>
                <w:kern w:val="2"/>
                <w:sz w:val="21"/>
                <w:szCs w:val="20"/>
                <w:highlight w:val="none"/>
                <w:lang w:eastAsia="zh-CN"/>
              </w:rPr>
            </w:pPr>
            <w:r>
              <w:rPr>
                <w:rFonts w:ascii="Times New Roman" w:hAnsi="Times New Roman" w:eastAsia="仿宋" w:cs="Times New Roman"/>
                <w:b/>
                <w:color w:val="auto"/>
                <w:kern w:val="2"/>
                <w:sz w:val="21"/>
                <w:szCs w:val="20"/>
                <w:highlight w:val="none"/>
                <w:lang w:eastAsia="zh-CN"/>
              </w:rPr>
              <w:t>三级指标</w:t>
            </w:r>
          </w:p>
        </w:tc>
        <w:tc>
          <w:tcPr>
            <w:tcW w:w="1985" w:type="dxa"/>
            <w:vAlign w:val="center"/>
          </w:tcPr>
          <w:p>
            <w:pPr>
              <w:autoSpaceDE/>
              <w:autoSpaceDN/>
              <w:spacing w:line="220" w:lineRule="exact"/>
              <w:jc w:val="center"/>
              <w:rPr>
                <w:rFonts w:ascii="Times New Roman" w:hAnsi="Times New Roman" w:eastAsia="仿宋" w:cs="Times New Roman"/>
                <w:b/>
                <w:color w:val="auto"/>
                <w:kern w:val="2"/>
                <w:sz w:val="21"/>
                <w:szCs w:val="20"/>
                <w:highlight w:val="none"/>
                <w:lang w:eastAsia="zh-CN"/>
              </w:rPr>
            </w:pPr>
            <w:r>
              <w:rPr>
                <w:rFonts w:ascii="Times New Roman" w:hAnsi="Times New Roman" w:eastAsia="仿宋" w:cs="Times New Roman"/>
                <w:b/>
                <w:color w:val="auto"/>
                <w:kern w:val="2"/>
                <w:sz w:val="21"/>
                <w:szCs w:val="20"/>
                <w:highlight w:val="none"/>
                <w:lang w:eastAsia="zh-CN"/>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restart"/>
            <w:vAlign w:val="center"/>
          </w:tcPr>
          <w:p>
            <w:pPr>
              <w:autoSpaceDE/>
              <w:autoSpaceDN/>
              <w:spacing w:line="220" w:lineRule="exact"/>
              <w:ind w:left="42"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决策</w:t>
            </w:r>
          </w:p>
          <w:p>
            <w:pPr>
              <w:autoSpaceDE/>
              <w:autoSpaceDN/>
              <w:spacing w:line="220" w:lineRule="exact"/>
              <w:ind w:left="44"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w:t>
            </w:r>
            <w:r>
              <w:rPr>
                <w:rFonts w:hint="eastAsia" w:ascii="Times New Roman" w:hAnsi="Times New Roman" w:eastAsia="仿宋" w:cs="Times New Roman"/>
                <w:color w:val="auto"/>
                <w:kern w:val="2"/>
                <w:sz w:val="21"/>
                <w:szCs w:val="20"/>
                <w:highlight w:val="none"/>
                <w:lang w:eastAsia="zh-CN"/>
              </w:rPr>
              <w:t>15</w:t>
            </w:r>
            <w:r>
              <w:rPr>
                <w:rFonts w:ascii="Times New Roman" w:hAnsi="Times New Roman" w:eastAsia="仿宋" w:cs="Times New Roman"/>
                <w:color w:val="auto"/>
                <w:kern w:val="2"/>
                <w:sz w:val="21"/>
                <w:szCs w:val="20"/>
                <w:highlight w:val="none"/>
                <w:lang w:eastAsia="zh-CN"/>
              </w:rPr>
              <w:t>分）</w:t>
            </w:r>
          </w:p>
        </w:tc>
        <w:tc>
          <w:tcPr>
            <w:tcW w:w="2126" w:type="dxa"/>
            <w:vMerge w:val="restart"/>
            <w:vAlign w:val="center"/>
          </w:tcPr>
          <w:p>
            <w:pPr>
              <w:autoSpaceDE/>
              <w:autoSpaceDN/>
              <w:spacing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项目立项</w:t>
            </w:r>
            <w:r>
              <w:rPr>
                <w:rFonts w:hint="eastAsia" w:ascii="Times New Roman" w:hAnsi="Times New Roman" w:eastAsia="仿宋" w:cs="Times New Roman"/>
                <w:color w:val="auto"/>
                <w:kern w:val="2"/>
                <w:sz w:val="21"/>
                <w:szCs w:val="20"/>
                <w:highlight w:val="none"/>
                <w:lang w:eastAsia="zh-CN"/>
              </w:rPr>
              <w:t>（5分）</w:t>
            </w:r>
          </w:p>
        </w:tc>
        <w:tc>
          <w:tcPr>
            <w:tcW w:w="3118"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立项依据充分性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3118" w:type="dxa"/>
            <w:tcBorders>
              <w:top w:val="nil"/>
            </w:tcBorders>
            <w:vAlign w:val="center"/>
          </w:tcPr>
          <w:p>
            <w:pPr>
              <w:autoSpaceDE/>
              <w:autoSpaceDN/>
              <w:spacing w:before="66"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立项程序规范性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restart"/>
            <w:vAlign w:val="center"/>
          </w:tcPr>
          <w:p>
            <w:pPr>
              <w:autoSpaceDE/>
              <w:autoSpaceDN/>
              <w:spacing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绩效目标</w:t>
            </w:r>
            <w:r>
              <w:rPr>
                <w:rFonts w:hint="eastAsia" w:ascii="Times New Roman" w:hAnsi="Times New Roman" w:eastAsia="仿宋" w:cs="Times New Roman"/>
                <w:color w:val="auto"/>
                <w:kern w:val="2"/>
                <w:sz w:val="21"/>
                <w:szCs w:val="20"/>
                <w:highlight w:val="none"/>
                <w:lang w:eastAsia="zh-CN"/>
              </w:rPr>
              <w:t>（5分）</w:t>
            </w:r>
          </w:p>
        </w:tc>
        <w:tc>
          <w:tcPr>
            <w:tcW w:w="3118" w:type="dxa"/>
            <w:vAlign w:val="center"/>
          </w:tcPr>
          <w:p>
            <w:pPr>
              <w:autoSpaceDE/>
              <w:autoSpaceDN/>
              <w:spacing w:before="66"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绩效目标合理性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3118" w:type="dxa"/>
            <w:tcBorders>
              <w:top w:val="nil"/>
            </w:tcBorders>
            <w:vAlign w:val="center"/>
          </w:tcPr>
          <w:p>
            <w:pPr>
              <w:autoSpaceDE/>
              <w:autoSpaceDN/>
              <w:spacing w:before="104"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绩效指标明确性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restart"/>
            <w:vAlign w:val="center"/>
          </w:tcPr>
          <w:p>
            <w:pPr>
              <w:autoSpaceDE/>
              <w:autoSpaceDN/>
              <w:spacing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资金投入</w:t>
            </w:r>
            <w:r>
              <w:rPr>
                <w:rFonts w:hint="eastAsia" w:ascii="Times New Roman" w:hAnsi="Times New Roman" w:eastAsia="仿宋" w:cs="Times New Roman"/>
                <w:color w:val="auto"/>
                <w:kern w:val="2"/>
                <w:sz w:val="21"/>
                <w:szCs w:val="20"/>
                <w:highlight w:val="none"/>
                <w:lang w:eastAsia="zh-CN"/>
              </w:rPr>
              <w:t>（5分）</w:t>
            </w:r>
          </w:p>
        </w:tc>
        <w:tc>
          <w:tcPr>
            <w:tcW w:w="3118"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预算编制科学性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3118" w:type="dxa"/>
            <w:vAlign w:val="center"/>
          </w:tcPr>
          <w:p>
            <w:pPr>
              <w:autoSpaceDE/>
              <w:autoSpaceDN/>
              <w:spacing w:before="65"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资金分配合理性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restart"/>
            <w:vAlign w:val="center"/>
          </w:tcPr>
          <w:p>
            <w:pPr>
              <w:autoSpaceDE/>
              <w:autoSpaceDN/>
              <w:spacing w:line="220" w:lineRule="exact"/>
              <w:ind w:left="42"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过程</w:t>
            </w:r>
          </w:p>
          <w:p>
            <w:pPr>
              <w:autoSpaceDE/>
              <w:autoSpaceDN/>
              <w:spacing w:line="220" w:lineRule="exact"/>
              <w:ind w:left="44"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w:t>
            </w:r>
            <w:r>
              <w:rPr>
                <w:rFonts w:hint="eastAsia" w:ascii="Times New Roman" w:hAnsi="Times New Roman" w:eastAsia="仿宋" w:cs="Times New Roman"/>
                <w:color w:val="auto"/>
                <w:kern w:val="2"/>
                <w:sz w:val="21"/>
                <w:szCs w:val="20"/>
                <w:highlight w:val="none"/>
                <w:lang w:eastAsia="zh-CN"/>
              </w:rPr>
              <w:t>15</w:t>
            </w:r>
            <w:r>
              <w:rPr>
                <w:rFonts w:ascii="Times New Roman" w:hAnsi="Times New Roman" w:eastAsia="仿宋" w:cs="Times New Roman"/>
                <w:color w:val="auto"/>
                <w:kern w:val="2"/>
                <w:sz w:val="21"/>
                <w:szCs w:val="20"/>
                <w:highlight w:val="none"/>
                <w:lang w:eastAsia="zh-CN"/>
              </w:rPr>
              <w:t>分）</w:t>
            </w:r>
          </w:p>
        </w:tc>
        <w:tc>
          <w:tcPr>
            <w:tcW w:w="2126" w:type="dxa"/>
            <w:vMerge w:val="restart"/>
            <w:vAlign w:val="center"/>
          </w:tcPr>
          <w:p>
            <w:pPr>
              <w:autoSpaceDE/>
              <w:autoSpaceDN/>
              <w:spacing w:before="124"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资金管理</w:t>
            </w:r>
            <w:r>
              <w:rPr>
                <w:rFonts w:hint="eastAsia" w:ascii="Times New Roman" w:hAnsi="Times New Roman" w:eastAsia="仿宋" w:cs="Times New Roman"/>
                <w:color w:val="auto"/>
                <w:kern w:val="2"/>
                <w:sz w:val="21"/>
                <w:szCs w:val="20"/>
                <w:highlight w:val="none"/>
                <w:lang w:eastAsia="zh-CN"/>
              </w:rPr>
              <w:t>（9分）</w:t>
            </w:r>
          </w:p>
        </w:tc>
        <w:tc>
          <w:tcPr>
            <w:tcW w:w="3118" w:type="dxa"/>
            <w:vAlign w:val="center"/>
          </w:tcPr>
          <w:p>
            <w:pPr>
              <w:autoSpaceDE/>
              <w:autoSpaceDN/>
              <w:spacing w:before="40" w:line="220" w:lineRule="exact"/>
              <w:ind w:left="223"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资金到位率</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before="124" w:line="220" w:lineRule="exact"/>
              <w:ind w:left="188"/>
              <w:jc w:val="center"/>
              <w:rPr>
                <w:rFonts w:ascii="Times New Roman" w:hAnsi="Times New Roman" w:eastAsia="仿宋" w:cs="Times New Roman"/>
                <w:color w:val="auto"/>
                <w:kern w:val="2"/>
                <w:sz w:val="21"/>
                <w:szCs w:val="20"/>
                <w:highlight w:val="none"/>
                <w:lang w:eastAsia="zh-CN"/>
              </w:rPr>
            </w:pPr>
          </w:p>
        </w:tc>
        <w:tc>
          <w:tcPr>
            <w:tcW w:w="3118" w:type="dxa"/>
            <w:vAlign w:val="center"/>
          </w:tcPr>
          <w:p>
            <w:pPr>
              <w:autoSpaceDE/>
              <w:autoSpaceDN/>
              <w:spacing w:before="38" w:line="220" w:lineRule="exact"/>
              <w:ind w:left="223"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预算执行率</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before="124" w:line="220" w:lineRule="exact"/>
              <w:ind w:left="188"/>
              <w:jc w:val="center"/>
              <w:rPr>
                <w:rFonts w:ascii="Times New Roman" w:hAnsi="Times New Roman" w:eastAsia="仿宋" w:cs="Times New Roman"/>
                <w:color w:val="auto"/>
                <w:kern w:val="2"/>
                <w:sz w:val="21"/>
                <w:szCs w:val="20"/>
                <w:highlight w:val="none"/>
                <w:lang w:eastAsia="zh-CN"/>
              </w:rPr>
            </w:pPr>
          </w:p>
        </w:tc>
        <w:tc>
          <w:tcPr>
            <w:tcW w:w="3118" w:type="dxa"/>
            <w:vAlign w:val="center"/>
          </w:tcPr>
          <w:p>
            <w:pPr>
              <w:autoSpaceDE/>
              <w:autoSpaceDN/>
              <w:spacing w:before="73"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资金使用合规性</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restart"/>
            <w:vAlign w:val="center"/>
          </w:tcPr>
          <w:p>
            <w:pPr>
              <w:autoSpaceDE/>
              <w:autoSpaceDN/>
              <w:spacing w:before="124"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组织实施</w:t>
            </w:r>
            <w:r>
              <w:rPr>
                <w:rFonts w:hint="eastAsia" w:ascii="Times New Roman" w:hAnsi="Times New Roman" w:eastAsia="仿宋" w:cs="Times New Roman"/>
                <w:color w:val="auto"/>
                <w:kern w:val="2"/>
                <w:sz w:val="21"/>
                <w:szCs w:val="20"/>
                <w:highlight w:val="none"/>
                <w:lang w:eastAsia="zh-CN"/>
              </w:rPr>
              <w:t>（6分）</w:t>
            </w:r>
          </w:p>
        </w:tc>
        <w:tc>
          <w:tcPr>
            <w:tcW w:w="3118" w:type="dxa"/>
            <w:vAlign w:val="center"/>
          </w:tcPr>
          <w:p>
            <w:pPr>
              <w:autoSpaceDE/>
              <w:autoSpaceDN/>
              <w:spacing w:before="96"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管理制度健全性</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3118"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制度执行有效性</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 w:hRule="atLeast"/>
        </w:trPr>
        <w:tc>
          <w:tcPr>
            <w:tcW w:w="1565" w:type="dxa"/>
            <w:vMerge w:val="restart"/>
            <w:vAlign w:val="center"/>
          </w:tcPr>
          <w:p>
            <w:pPr>
              <w:autoSpaceDE/>
              <w:autoSpaceDN/>
              <w:spacing w:line="220" w:lineRule="exact"/>
              <w:ind w:left="42"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w:t>
            </w:r>
          </w:p>
          <w:p>
            <w:pPr>
              <w:autoSpaceDE/>
              <w:autoSpaceDN/>
              <w:spacing w:line="220" w:lineRule="exact"/>
              <w:ind w:left="44"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w:t>
            </w:r>
            <w:r>
              <w:rPr>
                <w:rFonts w:hint="eastAsia" w:ascii="Times New Roman" w:hAnsi="Times New Roman" w:eastAsia="仿宋" w:cs="Times New Roman"/>
                <w:color w:val="auto"/>
                <w:kern w:val="2"/>
                <w:sz w:val="21"/>
                <w:szCs w:val="20"/>
                <w:highlight w:val="none"/>
                <w:lang w:eastAsia="zh-CN"/>
              </w:rPr>
              <w:t>40</w:t>
            </w:r>
            <w:r>
              <w:rPr>
                <w:rFonts w:ascii="Times New Roman" w:hAnsi="Times New Roman" w:eastAsia="仿宋" w:cs="Times New Roman"/>
                <w:color w:val="auto"/>
                <w:kern w:val="2"/>
                <w:sz w:val="21"/>
                <w:szCs w:val="20"/>
                <w:highlight w:val="none"/>
                <w:lang w:eastAsia="zh-CN"/>
              </w:rPr>
              <w:t>分）</w:t>
            </w:r>
          </w:p>
        </w:tc>
        <w:tc>
          <w:tcPr>
            <w:tcW w:w="2126" w:type="dxa"/>
            <w:vAlign w:val="center"/>
          </w:tcPr>
          <w:p>
            <w:pPr>
              <w:autoSpaceDE/>
              <w:autoSpaceDN/>
              <w:spacing w:before="124"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产出数量</w:t>
            </w:r>
            <w:r>
              <w:rPr>
                <w:rFonts w:hint="eastAsia" w:ascii="Times New Roman" w:hAnsi="Times New Roman" w:eastAsia="仿宋" w:cs="Times New Roman"/>
                <w:color w:val="auto"/>
                <w:kern w:val="2"/>
                <w:sz w:val="21"/>
                <w:szCs w:val="20"/>
                <w:highlight w:val="none"/>
                <w:lang w:eastAsia="zh-CN"/>
              </w:rPr>
              <w:t>（10分）</w:t>
            </w:r>
          </w:p>
        </w:tc>
        <w:tc>
          <w:tcPr>
            <w:tcW w:w="3118" w:type="dxa"/>
            <w:vAlign w:val="center"/>
          </w:tcPr>
          <w:p>
            <w:pPr>
              <w:autoSpaceDE/>
              <w:autoSpaceDN/>
              <w:spacing w:before="72" w:line="220" w:lineRule="exact"/>
              <w:ind w:left="225" w:right="217"/>
              <w:jc w:val="center"/>
              <w:rPr>
                <w:rFonts w:ascii="宋体" w:hAnsi="宋体" w:eastAsia="宋体" w:cs="宋体"/>
                <w:b w:val="0"/>
                <w:bCs w:val="0"/>
                <w:color w:val="auto"/>
                <w:sz w:val="24"/>
                <w:szCs w:val="24"/>
                <w:highlight w:val="none"/>
              </w:rPr>
            </w:pPr>
            <w:r>
              <w:rPr>
                <w:rFonts w:ascii="仿宋" w:hAnsi="仿宋" w:eastAsia="仿宋" w:cs="Times New Roman"/>
                <w:color w:val="auto"/>
                <w:kern w:val="2"/>
                <w:sz w:val="20"/>
                <w:szCs w:val="20"/>
                <w:highlight w:val="none"/>
                <w:lang w:eastAsia="zh-CN"/>
              </w:rPr>
              <w:br w:type="textWrapping"/>
            </w:r>
            <w:r>
              <w:rPr>
                <w:rFonts w:ascii="仿宋" w:hAnsi="仿宋" w:eastAsia="仿宋" w:cs="Times New Roman"/>
                <w:color w:val="auto"/>
                <w:kern w:val="2"/>
                <w:sz w:val="20"/>
                <w:szCs w:val="20"/>
                <w:highlight w:val="none"/>
                <w:lang w:eastAsia="zh-CN"/>
              </w:rPr>
              <w:t>合格率</w:t>
            </w:r>
            <w:r>
              <w:rPr>
                <w:rFonts w:hint="eastAsia" w:ascii="仿宋" w:hAnsi="仿宋" w:eastAsia="仿宋" w:cs="Times New Roman"/>
                <w:color w:val="auto"/>
                <w:kern w:val="2"/>
                <w:sz w:val="20"/>
                <w:szCs w:val="20"/>
                <w:highlight w:val="none"/>
                <w:lang w:eastAsia="zh-CN"/>
              </w:rPr>
              <w:t>（</w:t>
            </w:r>
            <w:r>
              <w:rPr>
                <w:rFonts w:hint="eastAsia" w:ascii="仿宋" w:hAnsi="仿宋" w:eastAsia="仿宋" w:cs="Times New Roman"/>
                <w:b w:val="0"/>
                <w:bCs w:val="0"/>
                <w:color w:val="auto"/>
                <w:kern w:val="2"/>
                <w:sz w:val="20"/>
                <w:szCs w:val="20"/>
                <w:highlight w:val="none"/>
                <w:lang w:val="en-US" w:eastAsia="zh-CN"/>
              </w:rPr>
              <w:t>10</w:t>
            </w:r>
            <w:r>
              <w:rPr>
                <w:rFonts w:hint="eastAsia" w:ascii="仿宋" w:hAnsi="仿宋" w:eastAsia="仿宋" w:cs="Times New Roman"/>
                <w:b w:val="0"/>
                <w:bCs w:val="0"/>
                <w:color w:val="auto"/>
                <w:kern w:val="2"/>
                <w:sz w:val="20"/>
                <w:szCs w:val="20"/>
                <w:highlight w:val="none"/>
                <w:lang w:eastAsia="zh-CN"/>
              </w:rPr>
              <w:t>分）</w:t>
            </w:r>
          </w:p>
          <w:p>
            <w:pPr>
              <w:autoSpaceDE/>
              <w:autoSpaceDN/>
              <w:spacing w:before="72" w:line="220" w:lineRule="exact"/>
              <w:ind w:left="225" w:right="217"/>
              <w:jc w:val="center"/>
              <w:rPr>
                <w:rFonts w:ascii="仿宋" w:hAnsi="仿宋" w:eastAsia="仿宋" w:cs="Times New Roman"/>
                <w:b/>
                <w:bCs/>
                <w:color w:val="auto"/>
                <w:kern w:val="2"/>
                <w:sz w:val="20"/>
                <w:szCs w:val="20"/>
                <w:highlight w:val="none"/>
                <w:lang w:eastAsia="zh-CN"/>
              </w:rPr>
            </w:pPr>
          </w:p>
        </w:tc>
        <w:tc>
          <w:tcPr>
            <w:tcW w:w="1985" w:type="dxa"/>
            <w:vAlign w:val="center"/>
          </w:tcPr>
          <w:p>
            <w:pPr>
              <w:autoSpaceDE/>
              <w:autoSpaceDN/>
              <w:spacing w:before="72" w:line="220" w:lineRule="exact"/>
              <w:ind w:left="225" w:right="217"/>
              <w:jc w:val="center"/>
              <w:rPr>
                <w:rFonts w:hint="default" w:ascii="仿宋" w:hAnsi="仿宋" w:eastAsia="仿宋" w:cs="Times New Roman"/>
                <w:color w:val="auto"/>
                <w:kern w:val="2"/>
                <w:sz w:val="20"/>
                <w:szCs w:val="20"/>
                <w:highlight w:val="none"/>
                <w:lang w:val="en-US" w:eastAsia="zh-CN"/>
              </w:rPr>
            </w:pPr>
            <w:r>
              <w:rPr>
                <w:rFonts w:hint="eastAsia" w:ascii="仿宋" w:hAnsi="仿宋" w:eastAsia="仿宋" w:cs="Times New Roman"/>
                <w:color w:val="auto"/>
                <w:kern w:val="2"/>
                <w:sz w:val="20"/>
                <w:szCs w:val="20"/>
                <w:highlight w:val="none"/>
                <w:lang w:val="en-US"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Align w:val="center"/>
          </w:tcPr>
          <w:p>
            <w:pPr>
              <w:autoSpaceDE/>
              <w:autoSpaceDN/>
              <w:spacing w:before="124"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产出质量</w:t>
            </w:r>
            <w:r>
              <w:rPr>
                <w:rFonts w:hint="eastAsia" w:ascii="Times New Roman" w:hAnsi="Times New Roman" w:eastAsia="仿宋" w:cs="Times New Roman"/>
                <w:color w:val="auto"/>
                <w:kern w:val="2"/>
                <w:sz w:val="21"/>
                <w:szCs w:val="20"/>
                <w:highlight w:val="none"/>
                <w:lang w:eastAsia="zh-CN"/>
              </w:rPr>
              <w:t>（10分）</w:t>
            </w:r>
          </w:p>
        </w:tc>
        <w:tc>
          <w:tcPr>
            <w:tcW w:w="3118"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合格率</w:t>
            </w:r>
            <w:r>
              <w:rPr>
                <w:rFonts w:hint="eastAsia" w:ascii="仿宋" w:hAnsi="仿宋" w:eastAsia="仿宋" w:cs="Times New Roman"/>
                <w:color w:val="auto"/>
                <w:kern w:val="2"/>
                <w:sz w:val="20"/>
                <w:szCs w:val="20"/>
                <w:highlight w:val="none"/>
                <w:lang w:eastAsia="zh-CN"/>
              </w:rPr>
              <w:t>（</w:t>
            </w:r>
            <w:r>
              <w:rPr>
                <w:rFonts w:hint="eastAsia" w:ascii="仿宋" w:hAnsi="仿宋" w:eastAsia="仿宋" w:cs="Times New Roman"/>
                <w:color w:val="auto"/>
                <w:kern w:val="2"/>
                <w:sz w:val="20"/>
                <w:szCs w:val="20"/>
                <w:highlight w:val="none"/>
                <w:lang w:val="en-US" w:eastAsia="zh-CN"/>
              </w:rPr>
              <w:t>10分</w:t>
            </w:r>
            <w:r>
              <w:rPr>
                <w:rFonts w:hint="eastAsia" w:ascii="仿宋" w:hAnsi="仿宋" w:eastAsia="仿宋" w:cs="Times New Roman"/>
                <w:color w:val="auto"/>
                <w:kern w:val="2"/>
                <w:sz w:val="20"/>
                <w:szCs w:val="20"/>
                <w:highlight w:val="none"/>
                <w:lang w:eastAsia="zh-CN"/>
              </w:rPr>
              <w:t>）</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Align w:val="center"/>
          </w:tcPr>
          <w:p>
            <w:pPr>
              <w:autoSpaceDE/>
              <w:autoSpaceDN/>
              <w:spacing w:before="123"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产出时效</w:t>
            </w:r>
            <w:r>
              <w:rPr>
                <w:rFonts w:hint="eastAsia" w:ascii="Times New Roman" w:hAnsi="Times New Roman" w:eastAsia="仿宋" w:cs="Times New Roman"/>
                <w:color w:val="auto"/>
                <w:kern w:val="2"/>
                <w:sz w:val="21"/>
                <w:szCs w:val="20"/>
                <w:highlight w:val="none"/>
                <w:lang w:eastAsia="zh-CN"/>
              </w:rPr>
              <w:t>（10分）</w:t>
            </w:r>
          </w:p>
        </w:tc>
        <w:tc>
          <w:tcPr>
            <w:tcW w:w="3118" w:type="dxa"/>
            <w:vAlign w:val="center"/>
          </w:tcPr>
          <w:p>
            <w:pPr>
              <w:autoSpaceDE/>
              <w:autoSpaceDN/>
              <w:spacing w:before="72" w:line="220" w:lineRule="exact"/>
              <w:ind w:left="225" w:right="217"/>
              <w:jc w:val="center"/>
              <w:rPr>
                <w:rFonts w:hint="default" w:ascii="仿宋" w:hAnsi="仿宋" w:eastAsia="仿宋" w:cs="Times New Roman"/>
                <w:color w:val="auto"/>
                <w:kern w:val="2"/>
                <w:sz w:val="20"/>
                <w:szCs w:val="20"/>
                <w:highlight w:val="none"/>
                <w:lang w:val="en-US" w:eastAsia="zh-CN"/>
              </w:rPr>
            </w:pPr>
            <w:r>
              <w:rPr>
                <w:rFonts w:hint="eastAsia" w:ascii="仿宋" w:hAnsi="仿宋" w:eastAsia="仿宋" w:cs="Times New Roman"/>
                <w:color w:val="auto"/>
                <w:kern w:val="2"/>
                <w:sz w:val="20"/>
                <w:szCs w:val="20"/>
                <w:highlight w:val="none"/>
                <w:lang w:val="en-US" w:eastAsia="zh-CN"/>
              </w:rPr>
              <w:t>及时率（10分）</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Align w:val="center"/>
          </w:tcPr>
          <w:p>
            <w:pPr>
              <w:autoSpaceDE/>
              <w:autoSpaceDN/>
              <w:spacing w:before="123"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产出成本</w:t>
            </w:r>
            <w:r>
              <w:rPr>
                <w:rFonts w:hint="eastAsia" w:ascii="Times New Roman" w:hAnsi="Times New Roman" w:eastAsia="仿宋" w:cs="Times New Roman"/>
                <w:color w:val="auto"/>
                <w:kern w:val="2"/>
                <w:sz w:val="21"/>
                <w:szCs w:val="20"/>
                <w:highlight w:val="none"/>
                <w:lang w:eastAsia="zh-CN"/>
              </w:rPr>
              <w:t>（10分）</w:t>
            </w:r>
          </w:p>
        </w:tc>
        <w:tc>
          <w:tcPr>
            <w:tcW w:w="3118"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合格率</w:t>
            </w:r>
            <w:r>
              <w:rPr>
                <w:rFonts w:hint="eastAsia" w:ascii="仿宋" w:hAnsi="仿宋" w:eastAsia="仿宋" w:cs="Times New Roman"/>
                <w:color w:val="auto"/>
                <w:kern w:val="2"/>
                <w:sz w:val="20"/>
                <w:szCs w:val="20"/>
                <w:highlight w:val="none"/>
                <w:lang w:eastAsia="zh-CN"/>
              </w:rPr>
              <w:t>（</w:t>
            </w:r>
            <w:r>
              <w:rPr>
                <w:rFonts w:hint="eastAsia" w:ascii="仿宋" w:hAnsi="仿宋" w:eastAsia="仿宋" w:cs="Times New Roman"/>
                <w:color w:val="auto"/>
                <w:kern w:val="2"/>
                <w:sz w:val="20"/>
                <w:szCs w:val="20"/>
                <w:highlight w:val="none"/>
                <w:lang w:val="en-US" w:eastAsia="zh-CN"/>
              </w:rPr>
              <w:t>10分</w:t>
            </w:r>
            <w:r>
              <w:rPr>
                <w:rFonts w:hint="eastAsia" w:ascii="仿宋" w:hAnsi="仿宋" w:eastAsia="仿宋" w:cs="Times New Roman"/>
                <w:color w:val="auto"/>
                <w:kern w:val="2"/>
                <w:sz w:val="20"/>
                <w:szCs w:val="20"/>
                <w:highlight w:val="none"/>
                <w:lang w:eastAsia="zh-CN"/>
              </w:rPr>
              <w:t>）</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565" w:type="dxa"/>
            <w:vMerge w:val="restart"/>
            <w:vAlign w:val="center"/>
          </w:tcPr>
          <w:p>
            <w:pPr>
              <w:autoSpaceDE/>
              <w:autoSpaceDN/>
              <w:spacing w:line="220" w:lineRule="exact"/>
              <w:ind w:left="42"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效益</w:t>
            </w:r>
          </w:p>
          <w:p>
            <w:pPr>
              <w:autoSpaceDE/>
              <w:autoSpaceDN/>
              <w:spacing w:line="220" w:lineRule="exact"/>
              <w:ind w:left="44"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w:t>
            </w:r>
            <w:r>
              <w:rPr>
                <w:rFonts w:hint="eastAsia" w:ascii="Times New Roman" w:hAnsi="Times New Roman" w:eastAsia="仿宋" w:cs="Times New Roman"/>
                <w:color w:val="auto"/>
                <w:kern w:val="2"/>
                <w:sz w:val="21"/>
                <w:szCs w:val="20"/>
                <w:highlight w:val="none"/>
                <w:lang w:eastAsia="zh-CN"/>
              </w:rPr>
              <w:t>30</w:t>
            </w:r>
            <w:r>
              <w:rPr>
                <w:rFonts w:ascii="Times New Roman" w:hAnsi="Times New Roman" w:eastAsia="仿宋" w:cs="Times New Roman"/>
                <w:color w:val="auto"/>
                <w:kern w:val="2"/>
                <w:sz w:val="21"/>
                <w:szCs w:val="20"/>
                <w:highlight w:val="none"/>
                <w:lang w:eastAsia="zh-CN"/>
              </w:rPr>
              <w:t>分）</w:t>
            </w:r>
          </w:p>
        </w:tc>
        <w:tc>
          <w:tcPr>
            <w:tcW w:w="2126" w:type="dxa"/>
            <w:vAlign w:val="center"/>
          </w:tcPr>
          <w:p>
            <w:pPr>
              <w:autoSpaceDE/>
              <w:autoSpaceDN/>
              <w:spacing w:before="123"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社会效益</w:t>
            </w:r>
            <w:r>
              <w:rPr>
                <w:rFonts w:hint="eastAsia" w:ascii="Times New Roman" w:hAnsi="Times New Roman" w:eastAsia="仿宋" w:cs="Times New Roman"/>
                <w:color w:val="auto"/>
                <w:kern w:val="2"/>
                <w:sz w:val="21"/>
                <w:szCs w:val="20"/>
                <w:highlight w:val="none"/>
                <w:lang w:eastAsia="zh-CN"/>
              </w:rPr>
              <w:t>（15分）</w:t>
            </w:r>
          </w:p>
        </w:tc>
        <w:tc>
          <w:tcPr>
            <w:tcW w:w="3118" w:type="dxa"/>
            <w:vAlign w:val="center"/>
          </w:tcPr>
          <w:p>
            <w:pPr>
              <w:autoSpaceDE/>
              <w:autoSpaceDN/>
              <w:spacing w:before="72" w:line="220" w:lineRule="exact"/>
              <w:ind w:left="225" w:right="217"/>
              <w:jc w:val="center"/>
              <w:rPr>
                <w:rFonts w:hint="default" w:ascii="仿宋" w:hAnsi="仿宋" w:eastAsia="仿宋" w:cs="Times New Roman"/>
                <w:color w:val="auto"/>
                <w:kern w:val="2"/>
                <w:sz w:val="20"/>
                <w:szCs w:val="20"/>
                <w:highlight w:val="none"/>
                <w:lang w:val="en-US" w:eastAsia="zh-CN"/>
              </w:rPr>
            </w:pPr>
            <w:r>
              <w:rPr>
                <w:rFonts w:ascii="仿宋" w:hAnsi="仿宋" w:eastAsia="仿宋" w:cs="Times New Roman"/>
                <w:color w:val="auto"/>
                <w:kern w:val="2"/>
                <w:sz w:val="20"/>
                <w:szCs w:val="20"/>
                <w:highlight w:val="none"/>
                <w:lang w:eastAsia="zh-CN"/>
              </w:rPr>
              <w:t>合格率</w:t>
            </w:r>
            <w:r>
              <w:rPr>
                <w:rFonts w:hint="eastAsia" w:ascii="仿宋" w:hAnsi="仿宋" w:eastAsia="仿宋" w:cs="Times New Roman"/>
                <w:color w:val="auto"/>
                <w:kern w:val="2"/>
                <w:sz w:val="20"/>
                <w:szCs w:val="20"/>
                <w:highlight w:val="none"/>
                <w:lang w:eastAsia="zh-CN"/>
              </w:rPr>
              <w:t>（</w:t>
            </w:r>
            <w:r>
              <w:rPr>
                <w:rFonts w:hint="eastAsia" w:ascii="仿宋" w:hAnsi="仿宋" w:eastAsia="仿宋" w:cs="Times New Roman"/>
                <w:color w:val="auto"/>
                <w:kern w:val="2"/>
                <w:sz w:val="20"/>
                <w:szCs w:val="20"/>
                <w:highlight w:val="none"/>
                <w:lang w:val="en-US" w:eastAsia="zh-CN"/>
              </w:rPr>
              <w:t>15分）</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w:t>
            </w:r>
            <w:r>
              <w:rPr>
                <w:rFonts w:hint="eastAsia" w:ascii="仿宋" w:hAnsi="仿宋" w:eastAsia="仿宋" w:cs="Times New Roman"/>
                <w:color w:val="auto"/>
                <w:kern w:val="2"/>
                <w:sz w:val="20"/>
                <w:szCs w:val="20"/>
                <w:highlight w:val="none"/>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bottom w:val="single" w:color="auto" w:sz="4" w:space="0"/>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Align w:val="center"/>
          </w:tcPr>
          <w:p>
            <w:pPr>
              <w:autoSpaceDE/>
              <w:autoSpaceDN/>
              <w:spacing w:before="124" w:line="220" w:lineRule="exact"/>
              <w:ind w:left="82"/>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满意度</w:t>
            </w:r>
            <w:r>
              <w:rPr>
                <w:rFonts w:hint="eastAsia" w:ascii="Times New Roman" w:hAnsi="Times New Roman" w:eastAsia="仿宋" w:cs="Times New Roman"/>
                <w:color w:val="auto"/>
                <w:kern w:val="2"/>
                <w:sz w:val="21"/>
                <w:szCs w:val="20"/>
                <w:highlight w:val="none"/>
                <w:lang w:eastAsia="zh-CN"/>
              </w:rPr>
              <w:t>（15分）</w:t>
            </w:r>
          </w:p>
        </w:tc>
        <w:tc>
          <w:tcPr>
            <w:tcW w:w="3118"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人员满意度（</w:t>
            </w:r>
            <w:r>
              <w:rPr>
                <w:rFonts w:hint="eastAsia" w:ascii="仿宋" w:hAnsi="仿宋" w:eastAsia="仿宋" w:cs="Times New Roman"/>
                <w:color w:val="auto"/>
                <w:kern w:val="2"/>
                <w:sz w:val="20"/>
                <w:szCs w:val="20"/>
                <w:highlight w:val="none"/>
                <w:lang w:val="en-US" w:eastAsia="zh-CN"/>
              </w:rPr>
              <w:t>15分</w:t>
            </w:r>
            <w:r>
              <w:rPr>
                <w:rFonts w:hint="eastAsia" w:ascii="仿宋" w:hAnsi="仿宋" w:eastAsia="仿宋" w:cs="Times New Roman"/>
                <w:color w:val="auto"/>
                <w:kern w:val="2"/>
                <w:sz w:val="20"/>
                <w:szCs w:val="20"/>
                <w:highlight w:val="none"/>
                <w:lang w:eastAsia="zh-CN"/>
              </w:rPr>
              <w:t>）</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691" w:type="dxa"/>
            <w:gridSpan w:val="2"/>
            <w:tcBorders>
              <w:top w:val="single" w:color="auto" w:sz="4" w:space="0"/>
              <w:left w:val="single" w:color="auto" w:sz="4" w:space="0"/>
              <w:bottom w:val="single" w:color="auto" w:sz="4" w:space="0"/>
            </w:tcBorders>
            <w:vAlign w:val="center"/>
          </w:tcPr>
          <w:p>
            <w:pPr>
              <w:autoSpaceDE/>
              <w:autoSpaceDN/>
              <w:spacing w:before="124" w:line="220" w:lineRule="exact"/>
              <w:ind w:left="82"/>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总分</w:t>
            </w:r>
            <w:r>
              <w:rPr>
                <w:rFonts w:hint="eastAsia" w:ascii="Times New Roman" w:hAnsi="Times New Roman" w:eastAsia="仿宋" w:cs="Times New Roman"/>
                <w:color w:val="auto"/>
                <w:kern w:val="2"/>
                <w:sz w:val="21"/>
                <w:szCs w:val="20"/>
                <w:highlight w:val="none"/>
                <w:lang w:eastAsia="zh-CN"/>
              </w:rPr>
              <w:t>（100分）</w:t>
            </w:r>
          </w:p>
        </w:tc>
        <w:tc>
          <w:tcPr>
            <w:tcW w:w="5103" w:type="dxa"/>
            <w:gridSpan w:val="2"/>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9</w:t>
            </w:r>
            <w:r>
              <w:rPr>
                <w:rFonts w:hint="eastAsia" w:ascii="仿宋" w:hAnsi="仿宋" w:eastAsia="仿宋" w:cs="Times New Roman"/>
                <w:color w:val="auto"/>
                <w:kern w:val="2"/>
                <w:sz w:val="20"/>
                <w:szCs w:val="20"/>
                <w:highlight w:val="none"/>
                <w:lang w:val="en-US" w:eastAsia="zh-CN"/>
              </w:rPr>
              <w:t>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691" w:type="dxa"/>
            <w:gridSpan w:val="2"/>
            <w:tcBorders>
              <w:top w:val="single" w:color="auto" w:sz="4" w:space="0"/>
              <w:left w:val="single" w:color="auto" w:sz="4" w:space="0"/>
              <w:bottom w:val="single" w:color="auto" w:sz="4" w:space="0"/>
            </w:tcBorders>
            <w:vAlign w:val="center"/>
          </w:tcPr>
          <w:p>
            <w:pPr>
              <w:autoSpaceDE/>
              <w:autoSpaceDN/>
              <w:spacing w:before="124" w:line="220" w:lineRule="exact"/>
              <w:ind w:left="82"/>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评价等次</w:t>
            </w:r>
          </w:p>
        </w:tc>
        <w:tc>
          <w:tcPr>
            <w:tcW w:w="5103" w:type="dxa"/>
            <w:gridSpan w:val="2"/>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794" w:type="dxa"/>
            <w:gridSpan w:val="4"/>
            <w:tcBorders>
              <w:top w:val="single" w:color="auto" w:sz="4" w:space="0"/>
              <w:left w:val="single" w:color="auto" w:sz="4" w:space="0"/>
              <w:bottom w:val="single" w:color="auto" w:sz="4" w:space="0"/>
            </w:tcBorders>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100-90（含）分为优、90-80（含）分为良、80-60（含）分为中、60分以下为差</w:t>
            </w:r>
            <w:r>
              <w:rPr>
                <w:rFonts w:ascii="仿宋" w:hAnsi="仿宋" w:eastAsia="仿宋" w:cs="Times New Roman"/>
                <w:color w:val="auto"/>
                <w:kern w:val="2"/>
                <w:sz w:val="20"/>
                <w:szCs w:val="20"/>
                <w:highlight w:val="none"/>
                <w:lang w:eastAsia="zh-CN"/>
              </w:rPr>
              <w:tab/>
            </w:r>
          </w:p>
        </w:tc>
      </w:tr>
    </w:tbl>
    <w:p>
      <w:pPr>
        <w:pStyle w:val="4"/>
        <w:rPr>
          <w:color w:val="auto"/>
          <w:highlight w:val="none"/>
        </w:rPr>
      </w:pPr>
    </w:p>
    <w:p>
      <w:pPr>
        <w:spacing w:line="360" w:lineRule="auto"/>
        <w:ind w:firstLine="643" w:firstLineChars="200"/>
        <w:rPr>
          <w:rFonts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3.评价方法</w:t>
      </w:r>
    </w:p>
    <w:p>
      <w:pPr>
        <w:pStyle w:val="12"/>
        <w:spacing w:line="360" w:lineRule="auto"/>
        <w:ind w:left="0" w:leftChars="0"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绩效评价主要采用以下评价方法：</w:t>
      </w:r>
    </w:p>
    <w:p>
      <w:pPr>
        <w:pStyle w:val="12"/>
        <w:spacing w:line="360" w:lineRule="auto"/>
        <w:ind w:left="0" w:leftChars="0"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（1）成本效益分析法。是指将一定时期内的支出与效益进行对比分析，以评价绩效目标实现程度。</w:t>
      </w:r>
    </w:p>
    <w:p>
      <w:pPr>
        <w:pStyle w:val="12"/>
        <w:spacing w:line="360" w:lineRule="auto"/>
        <w:ind w:left="0" w:leftChars="0"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（2）比较分析法。指通过对绩效目标与实施效果、当期情况的比较，综合分析绩效目标实现程度。</w:t>
      </w:r>
    </w:p>
    <w:p>
      <w:pPr>
        <w:pStyle w:val="12"/>
        <w:spacing w:line="360" w:lineRule="auto"/>
        <w:ind w:left="0" w:leftChars="0"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（3）公众评判法。是指通过公众问卷及抽样调查等对财政支出效果进行评判，评价绩效目标实现程度。</w:t>
      </w:r>
    </w:p>
    <w:p>
      <w:pPr>
        <w:pStyle w:val="12"/>
        <w:spacing w:line="360" w:lineRule="auto"/>
        <w:ind w:left="0" w:leftChars="0" w:firstLine="64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4.评价标准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按照</w:t>
      </w:r>
      <w:r>
        <w:rPr>
          <w:rFonts w:hint="eastAsia" w:ascii="仿宋_GB2312" w:hAnsi="仿宋_GB2312" w:eastAsia="仿宋_GB2312" w:cs="仿宋_GB2312"/>
          <w:b w:val="0"/>
          <w:color w:val="auto"/>
          <w:kern w:val="2"/>
          <w:sz w:val="32"/>
          <w:szCs w:val="32"/>
          <w:highlight w:val="none"/>
          <w:lang w:val="en-US" w:eastAsia="zh-CN" w:bidi="ar-SA"/>
        </w:rPr>
        <w:t>《南昌市财政局关于开展2025年度全市预算单位自评及部门评价工作的通知》（洪财绩〔2026〕1号）文件精神</w:t>
      </w:r>
      <w:r>
        <w:rPr>
          <w:rFonts w:hint="eastAsia" w:ascii="仿宋_GB2312" w:hAnsi="仿宋_GB2312" w:eastAsia="仿宋_GB2312" w:cs="仿宋_GB2312"/>
          <w:color w:val="auto"/>
          <w:sz w:val="32"/>
          <w:szCs w:val="32"/>
          <w:highlight w:val="none"/>
        </w:rPr>
        <w:t>，参照财政部《项目支出绩效评价共性指标体系框架》制定了《项目支出绩效评价指标体系评分表》，经我</w:t>
      </w:r>
      <w:r>
        <w:rPr>
          <w:rFonts w:hint="eastAsia" w:ascii="仿宋_GB2312" w:hAnsi="仿宋_GB2312" w:eastAsia="仿宋_GB2312" w:cs="仿宋_GB2312"/>
          <w:color w:val="auto"/>
          <w:sz w:val="32"/>
          <w:szCs w:val="32"/>
          <w:highlight w:val="none"/>
          <w:lang w:val="en-US" w:eastAsia="zh-CN"/>
        </w:rPr>
        <w:t>单位</w:t>
      </w:r>
      <w:r>
        <w:rPr>
          <w:rFonts w:hint="eastAsia" w:ascii="仿宋_GB2312" w:hAnsi="仿宋_GB2312" w:eastAsia="仿宋_GB2312" w:cs="仿宋_GB2312"/>
          <w:color w:val="auto"/>
          <w:sz w:val="32"/>
          <w:szCs w:val="32"/>
          <w:highlight w:val="none"/>
        </w:rPr>
        <w:t>自评，</w:t>
      </w:r>
      <w:r>
        <w:rPr>
          <w:rFonts w:hint="eastAsia" w:ascii="仿宋_GB2312" w:hAnsi="仿宋_GB2312" w:eastAsia="仿宋_GB2312" w:cs="仿宋_GB2312"/>
          <w:color w:val="auto"/>
          <w:sz w:val="32"/>
          <w:szCs w:val="32"/>
          <w:highlight w:val="none"/>
          <w:lang w:eastAsia="zh-CN"/>
        </w:rPr>
        <w:t>2025年</w:t>
      </w:r>
      <w:r>
        <w:rPr>
          <w:rFonts w:hint="eastAsia" w:ascii="仿宋_GB2312" w:hAnsi="仿宋_GB2312" w:eastAsia="仿宋_GB2312" w:cs="仿宋_GB2312"/>
          <w:color w:val="auto"/>
          <w:sz w:val="32"/>
          <w:szCs w:val="32"/>
          <w:highlight w:val="none"/>
        </w:rPr>
        <w:t>项目支出绩效评价得分</w:t>
      </w:r>
      <w:r>
        <w:rPr>
          <w:rFonts w:hint="eastAsia" w:ascii="仿宋_GB2312" w:hAnsi="仿宋_GB2312" w:eastAsia="仿宋_GB2312" w:cs="仿宋_GB2312"/>
          <w:color w:val="auto"/>
          <w:sz w:val="32"/>
          <w:szCs w:val="32"/>
          <w:highlight w:val="none"/>
          <w:lang w:val="en-US" w:eastAsia="zh-CN"/>
        </w:rPr>
        <w:t>97分</w:t>
      </w:r>
      <w:r>
        <w:rPr>
          <w:rFonts w:hint="eastAsia" w:ascii="仿宋_GB2312" w:hAnsi="仿宋_GB2312" w:eastAsia="仿宋_GB2312" w:cs="仿宋_GB2312"/>
          <w:color w:val="auto"/>
          <w:sz w:val="32"/>
          <w:szCs w:val="32"/>
          <w:highlight w:val="none"/>
        </w:rPr>
        <w:t>。</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（三）绩效评价工作过程</w:t>
      </w:r>
    </w:p>
    <w:p>
      <w:pPr>
        <w:pStyle w:val="4"/>
        <w:spacing w:before="91" w:line="411" w:lineRule="auto"/>
        <w:ind w:left="31" w:firstLine="561"/>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 xml:space="preserve">本次项目的评价是评价组进行项目调研，研发设计绩效指标体系、基础数据报表体系和调研方案，同时评价组到实地采集数据，完善评价基础资料。评价组工作人员对基础数据进行查验，就项目的目标及实施效果等做深入了解，并组织开展访谈等调研，之后汇总分析评价数据，依据制订的评价标准和评分规则，对项目投入产出绩效进行量化评分。依据项目立项、项目执行、项目管理、项目资金运用及使用情况，以及项目投入产出绩效，撰写绩效评价报告，针对存在问题提出改进建议。 </w:t>
      </w:r>
    </w:p>
    <w:p>
      <w:pPr>
        <w:spacing w:line="360" w:lineRule="auto"/>
        <w:ind w:firstLine="643" w:firstLineChars="200"/>
        <w:outlineLvl w:val="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三、综合评价情况及评价结论</w:t>
      </w:r>
    </w:p>
    <w:p>
      <w:pPr>
        <w:spacing w:line="360" w:lineRule="auto"/>
        <w:ind w:firstLine="640" w:firstLineChars="200"/>
        <w:outlineLvl w:val="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根据自评绩效评分细则，我们严格按照经费管理原则管理和使用，严格执行预算管理、防止各种违反财经纪律的行为、保障重点、量入为出、收支平衡的原则，提高</w:t>
      </w:r>
      <w:r>
        <w:rPr>
          <w:rFonts w:hint="eastAsia" w:ascii="仿宋_GB2312" w:hAnsi="仿宋_GB2312" w:eastAsia="仿宋_GB2312" w:cs="仿宋_GB2312"/>
          <w:color w:val="auto"/>
          <w:sz w:val="32"/>
          <w:szCs w:val="32"/>
          <w:highlight w:val="none"/>
          <w:lang w:eastAsia="zh-CN"/>
        </w:rPr>
        <w:t>财政</w:t>
      </w:r>
      <w:r>
        <w:rPr>
          <w:rFonts w:hint="eastAsia" w:ascii="仿宋_GB2312" w:hAnsi="仿宋_GB2312" w:eastAsia="仿宋_GB2312" w:cs="仿宋_GB2312"/>
          <w:color w:val="auto"/>
          <w:sz w:val="32"/>
          <w:szCs w:val="32"/>
          <w:highlight w:val="none"/>
        </w:rPr>
        <w:t>资金使用效益。</w:t>
      </w:r>
      <w:r>
        <w:rPr>
          <w:rFonts w:hint="eastAsia" w:ascii="仿宋_GB2312" w:hAnsi="仿宋_GB2312" w:eastAsia="仿宋_GB2312" w:cs="仿宋_GB2312"/>
          <w:color w:val="auto"/>
          <w:sz w:val="32"/>
          <w:szCs w:val="32"/>
          <w:highlight w:val="none"/>
          <w:lang w:val="en-US" w:eastAsia="zh-CN"/>
        </w:rPr>
        <w:t>“贤士湖集贸市场周边小区微改造项目经费”绩效自评得分为97分，</w:t>
      </w:r>
      <w:r>
        <w:rPr>
          <w:rFonts w:hint="eastAsia" w:ascii="仿宋_GB2312" w:hAnsi="仿宋_GB2312" w:eastAsia="仿宋_GB2312" w:cs="仿宋_GB2312"/>
          <w:color w:val="auto"/>
          <w:sz w:val="32"/>
          <w:szCs w:val="32"/>
          <w:highlight w:val="none"/>
        </w:rPr>
        <w:t>经绩效评价小组复核，</w:t>
      </w:r>
      <w:r>
        <w:rPr>
          <w:rFonts w:hint="eastAsia" w:ascii="仿宋_GB2312" w:hAnsi="仿宋_GB2312" w:eastAsia="仿宋_GB2312" w:cs="仿宋_GB2312"/>
          <w:color w:val="auto"/>
          <w:sz w:val="32"/>
          <w:szCs w:val="32"/>
          <w:highlight w:val="none"/>
          <w:lang w:val="en-US" w:eastAsia="zh-CN"/>
        </w:rPr>
        <w:t>“贤士湖集贸市场周边小区微改造项目经费”</w:t>
      </w:r>
      <w:r>
        <w:rPr>
          <w:rFonts w:hint="eastAsia" w:ascii="仿宋_GB2312" w:hAnsi="仿宋_GB2312" w:eastAsia="仿宋_GB2312" w:cs="仿宋_GB2312"/>
          <w:color w:val="auto"/>
          <w:sz w:val="32"/>
          <w:szCs w:val="32"/>
          <w:highlight w:val="none"/>
        </w:rPr>
        <w:t>项目最终绩效评价得分为9</w:t>
      </w: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分，评价等级为“优”。</w:t>
      </w:r>
    </w:p>
    <w:p>
      <w:pPr>
        <w:pStyle w:val="4"/>
        <w:rPr>
          <w:rFonts w:hint="eastAsia"/>
          <w:color w:val="auto"/>
          <w:highlight w:val="none"/>
          <w:lang w:val="en-US" w:eastAsia="zh-CN"/>
        </w:rPr>
      </w:pPr>
    </w:p>
    <w:p>
      <w:pPr>
        <w:spacing w:line="360" w:lineRule="auto"/>
        <w:ind w:firstLine="643" w:firstLineChars="200"/>
        <w:outlineLvl w:val="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四、绩效评价指标分析</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default"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rPr>
        <w:t>（一）项目决策情况（1</w:t>
      </w:r>
      <w:r>
        <w:rPr>
          <w:rFonts w:hint="eastAsia" w:ascii="楷体_GB2312" w:hAnsi="楷体_GB2312" w:eastAsia="楷体_GB2312" w:cs="楷体_GB2312"/>
          <w:b w:val="0"/>
          <w:bCs w:val="0"/>
          <w:color w:val="auto"/>
          <w:sz w:val="32"/>
          <w:szCs w:val="32"/>
          <w:highlight w:val="none"/>
          <w:lang w:val="en-US" w:eastAsia="zh-CN"/>
        </w:rPr>
        <w:t>5</w:t>
      </w:r>
      <w:r>
        <w:rPr>
          <w:rFonts w:hint="eastAsia" w:ascii="楷体_GB2312" w:hAnsi="楷体_GB2312" w:eastAsia="楷体_GB2312" w:cs="楷体_GB2312"/>
          <w:b w:val="0"/>
          <w:bCs w:val="0"/>
          <w:color w:val="auto"/>
          <w:sz w:val="32"/>
          <w:szCs w:val="32"/>
          <w:highlight w:val="none"/>
        </w:rPr>
        <w:t>分）</w:t>
      </w:r>
    </w:p>
    <w:p>
      <w:pPr>
        <w:spacing w:line="360" w:lineRule="auto"/>
        <w:ind w:firstLine="643" w:firstLineChars="200"/>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1.项目立项</w:t>
      </w:r>
      <w:r>
        <w:rPr>
          <w:rFonts w:hint="eastAsia" w:ascii="仿宋_GB2312" w:hAnsi="仿宋_GB2312" w:eastAsia="仿宋_GB2312" w:cs="仿宋_GB2312"/>
          <w:b/>
          <w:bCs/>
          <w:color w:val="auto"/>
          <w:sz w:val="32"/>
          <w:szCs w:val="32"/>
          <w:highlight w:val="none"/>
        </w:rPr>
        <w:t>（</w:t>
      </w:r>
      <w:r>
        <w:rPr>
          <w:rFonts w:hint="eastAsia" w:ascii="仿宋_GB2312" w:hAnsi="仿宋_GB2312" w:eastAsia="仿宋_GB2312" w:cs="仿宋_GB2312"/>
          <w:b/>
          <w:bCs/>
          <w:color w:val="auto"/>
          <w:sz w:val="32"/>
          <w:szCs w:val="32"/>
          <w:highlight w:val="none"/>
          <w:lang w:val="en-US" w:eastAsia="zh-CN"/>
        </w:rPr>
        <w:t>5</w:t>
      </w:r>
      <w:r>
        <w:rPr>
          <w:rFonts w:hint="eastAsia" w:ascii="仿宋_GB2312" w:hAnsi="仿宋_GB2312" w:eastAsia="仿宋_GB2312" w:cs="仿宋_GB2312"/>
          <w:b/>
          <w:bCs/>
          <w:color w:val="auto"/>
          <w:sz w:val="32"/>
          <w:szCs w:val="32"/>
          <w:highlight w:val="none"/>
        </w:rPr>
        <w:t>分）</w:t>
      </w:r>
    </w:p>
    <w:p>
      <w:pPr>
        <w:spacing w:line="360" w:lineRule="auto"/>
        <w:ind w:firstLine="640" w:firstLineChars="200"/>
        <w:outlineLvl w:val="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本项目严格按有关规章制度进行管理，活动项目立项、资金使用等经主席办公会集体讨论决定，对项目绩效目标、资金分配、资金落实、完成时限等均提出了明确具体的要求，保证了本项目保质保量。完成了目标值，依据评分标准，该项指标得5分。</w:t>
      </w:r>
    </w:p>
    <w:p>
      <w:pPr>
        <w:spacing w:line="360" w:lineRule="auto"/>
        <w:ind w:firstLine="643" w:firstLineChars="200"/>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2.</w:t>
      </w:r>
      <w:r>
        <w:rPr>
          <w:rFonts w:hint="eastAsia" w:ascii="仿宋_GB2312" w:hAnsi="仿宋_GB2312" w:eastAsia="仿宋_GB2312" w:cs="仿宋_GB2312"/>
          <w:b/>
          <w:bCs/>
          <w:color w:val="auto"/>
          <w:sz w:val="32"/>
          <w:szCs w:val="32"/>
          <w:highlight w:val="none"/>
        </w:rPr>
        <w:t>绩效目标（</w:t>
      </w:r>
      <w:r>
        <w:rPr>
          <w:rFonts w:hint="eastAsia" w:ascii="仿宋_GB2312" w:hAnsi="仿宋_GB2312" w:eastAsia="仿宋_GB2312" w:cs="仿宋_GB2312"/>
          <w:b/>
          <w:bCs/>
          <w:color w:val="auto"/>
          <w:sz w:val="32"/>
          <w:szCs w:val="32"/>
          <w:highlight w:val="none"/>
          <w:lang w:val="en-US" w:eastAsia="zh-CN"/>
        </w:rPr>
        <w:t>5</w:t>
      </w:r>
      <w:r>
        <w:rPr>
          <w:rFonts w:hint="eastAsia" w:ascii="仿宋_GB2312" w:hAnsi="仿宋_GB2312" w:eastAsia="仿宋_GB2312" w:cs="仿宋_GB2312"/>
          <w:b/>
          <w:bCs/>
          <w:color w:val="auto"/>
          <w:sz w:val="32"/>
          <w:szCs w:val="32"/>
          <w:highlight w:val="none"/>
        </w:rPr>
        <w:t>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项目目标设定充分依据项目实际需求，目标和指标的设计符合项目管理规范;指标采取定量与定性相结合，通过清晰、可衡量的指标值将绩效目标反映出来，考核指标设立合理;项目预期产出效益和效果符合正常的工作水平，绩效指标具体可测性。完成了目标值，依据评分标准，该项指标得</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分。</w:t>
      </w:r>
    </w:p>
    <w:p>
      <w:pPr>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3.</w:t>
      </w:r>
      <w:r>
        <w:rPr>
          <w:rFonts w:hint="eastAsia" w:ascii="仿宋_GB2312" w:hAnsi="仿宋_GB2312" w:eastAsia="仿宋_GB2312" w:cs="仿宋_GB2312"/>
          <w:b/>
          <w:bCs/>
          <w:color w:val="auto"/>
          <w:sz w:val="32"/>
          <w:szCs w:val="32"/>
          <w:highlight w:val="none"/>
        </w:rPr>
        <w:t>资金投入（</w:t>
      </w:r>
      <w:r>
        <w:rPr>
          <w:rFonts w:hint="eastAsia" w:ascii="仿宋_GB2312" w:hAnsi="仿宋_GB2312" w:eastAsia="仿宋_GB2312" w:cs="仿宋_GB2312"/>
          <w:b/>
          <w:bCs/>
          <w:color w:val="auto"/>
          <w:sz w:val="32"/>
          <w:szCs w:val="32"/>
          <w:highlight w:val="none"/>
          <w:lang w:val="en-US" w:eastAsia="zh-CN"/>
        </w:rPr>
        <w:t>5</w:t>
      </w:r>
      <w:r>
        <w:rPr>
          <w:rFonts w:hint="eastAsia" w:ascii="仿宋_GB2312" w:hAnsi="仿宋_GB2312" w:eastAsia="仿宋_GB2312" w:cs="仿宋_GB2312"/>
          <w:b/>
          <w:bCs/>
          <w:color w:val="auto"/>
          <w:sz w:val="32"/>
          <w:szCs w:val="32"/>
          <w:highlight w:val="none"/>
        </w:rPr>
        <w:t>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该项目严格按照程序进行项目的预算申报，并根据项目实际需要和本年度计划工作内容，设定了绩效目标，且目标明确，与预算确定的项目投资额相匹配。完成了目标值，依据评分标准，该项指标得</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分。</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（二）项目过程情况（</w:t>
      </w:r>
      <w:r>
        <w:rPr>
          <w:rFonts w:hint="eastAsia" w:ascii="楷体_GB2312" w:hAnsi="楷体_GB2312" w:eastAsia="楷体_GB2312" w:cs="楷体_GB2312"/>
          <w:b w:val="0"/>
          <w:bCs w:val="0"/>
          <w:color w:val="auto"/>
          <w:sz w:val="32"/>
          <w:szCs w:val="32"/>
          <w:highlight w:val="none"/>
          <w:lang w:val="en-US" w:eastAsia="zh-CN"/>
        </w:rPr>
        <w:t>15</w:t>
      </w:r>
      <w:r>
        <w:rPr>
          <w:rFonts w:hint="eastAsia" w:ascii="楷体_GB2312" w:hAnsi="楷体_GB2312" w:eastAsia="楷体_GB2312" w:cs="楷体_GB2312"/>
          <w:b w:val="0"/>
          <w:bCs w:val="0"/>
          <w:color w:val="auto"/>
          <w:sz w:val="32"/>
          <w:szCs w:val="32"/>
          <w:highlight w:val="none"/>
        </w:rPr>
        <w:t>分）</w:t>
      </w:r>
    </w:p>
    <w:p>
      <w:pPr>
        <w:pStyle w:val="12"/>
        <w:spacing w:line="360" w:lineRule="auto"/>
        <w:ind w:left="0" w:leftChars="0" w:firstLine="640"/>
        <w:rPr>
          <w:rFonts w:hint="eastAsia" w:ascii="仿宋_GB2312" w:hAnsi="仿宋_GB2312" w:eastAsia="仿宋_GB2312" w:cs="仿宋_GB2312"/>
          <w:b/>
          <w:bCs/>
          <w:color w:val="auto"/>
          <w:sz w:val="32"/>
          <w:szCs w:val="32"/>
          <w:highlight w:val="none"/>
        </w:rPr>
      </w:pPr>
      <w:r>
        <w:rPr>
          <w:rFonts w:hint="eastAsia" w:ascii="仿宋_GB2312" w:hAnsi="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rPr>
        <w:t>资金</w:t>
      </w:r>
      <w:r>
        <w:rPr>
          <w:rFonts w:hint="eastAsia" w:ascii="仿宋_GB2312" w:hAnsi="仿宋_GB2312" w:eastAsia="仿宋_GB2312" w:cs="仿宋_GB2312"/>
          <w:b/>
          <w:bCs/>
          <w:color w:val="auto"/>
          <w:sz w:val="32"/>
          <w:szCs w:val="32"/>
          <w:highlight w:val="none"/>
          <w:lang w:val="en-US" w:eastAsia="zh-CN"/>
        </w:rPr>
        <w:t>到位率</w:t>
      </w:r>
      <w:r>
        <w:rPr>
          <w:rFonts w:hint="eastAsia" w:ascii="仿宋_GB2312" w:hAnsi="仿宋_GB2312" w:eastAsia="仿宋_GB2312" w:cs="仿宋_GB2312"/>
          <w:b/>
          <w:bCs/>
          <w:color w:val="auto"/>
          <w:sz w:val="32"/>
          <w:szCs w:val="32"/>
          <w:highlight w:val="none"/>
        </w:rPr>
        <w:t>（3分）</w:t>
      </w:r>
    </w:p>
    <w:p>
      <w:pPr>
        <w:pStyle w:val="12"/>
        <w:spacing w:line="360" w:lineRule="auto"/>
        <w:ind w:left="0" w:leftChars="0" w:firstLine="640"/>
        <w:rPr>
          <w:rFonts w:hint="eastAsia" w:ascii="仿宋_GB2312" w:hAnsi="仿宋_GB2312" w:eastAsia="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2025年</w:t>
      </w:r>
      <w:r>
        <w:rPr>
          <w:rFonts w:hint="eastAsia" w:ascii="仿宋_GB2312" w:hAnsi="仿宋_GB2312" w:eastAsia="仿宋_GB2312" w:cs="仿宋_GB2312"/>
          <w:color w:val="auto"/>
          <w:sz w:val="32"/>
          <w:szCs w:val="32"/>
          <w:highlight w:val="none"/>
          <w:lang w:val="en-US" w:eastAsia="zh-CN"/>
        </w:rPr>
        <w:t>度</w:t>
      </w:r>
      <w:r>
        <w:rPr>
          <w:rFonts w:hint="eastAsia" w:ascii="仿宋_GB2312" w:hAnsi="仿宋_GB2312" w:cs="仿宋_GB2312"/>
          <w:color w:val="auto"/>
          <w:sz w:val="32"/>
          <w:szCs w:val="32"/>
          <w:highlight w:val="none"/>
          <w:lang w:val="en-US" w:eastAsia="zh-CN"/>
        </w:rPr>
        <w:t>“贤士湖集贸市场周边小区微改造项目经费”</w:t>
      </w:r>
      <w:r>
        <w:rPr>
          <w:rFonts w:hint="eastAsia" w:ascii="仿宋_GB2312" w:hAnsi="仿宋_GB2312" w:eastAsia="仿宋_GB2312" w:cs="仿宋_GB2312"/>
          <w:color w:val="auto"/>
          <w:sz w:val="32"/>
          <w:szCs w:val="32"/>
          <w:highlight w:val="none"/>
          <w:lang w:val="en-US" w:eastAsia="zh-CN"/>
        </w:rPr>
        <w:t>资金预算数</w:t>
      </w:r>
      <w:r>
        <w:rPr>
          <w:rFonts w:hint="eastAsia" w:ascii="仿宋_GB2312" w:hAnsi="仿宋_GB2312" w:cs="仿宋_GB2312"/>
          <w:color w:val="auto"/>
          <w:sz w:val="32"/>
          <w:szCs w:val="32"/>
          <w:highlight w:val="none"/>
          <w:lang w:val="en-US" w:eastAsia="zh-CN"/>
        </w:rPr>
        <w:t>76.85万</w:t>
      </w:r>
      <w:r>
        <w:rPr>
          <w:rFonts w:hint="eastAsia" w:ascii="仿宋_GB2312" w:hAnsi="仿宋_GB2312" w:eastAsia="仿宋_GB2312" w:cs="仿宋_GB2312"/>
          <w:color w:val="auto"/>
          <w:sz w:val="32"/>
          <w:szCs w:val="32"/>
          <w:highlight w:val="none"/>
          <w:lang w:val="en-US" w:eastAsia="zh-CN"/>
        </w:rPr>
        <w:t>元，全年专项资金到位</w:t>
      </w:r>
      <w:r>
        <w:rPr>
          <w:rFonts w:hint="eastAsia" w:ascii="仿宋_GB2312" w:hAnsi="仿宋_GB2312" w:cs="仿宋_GB2312"/>
          <w:color w:val="auto"/>
          <w:sz w:val="32"/>
          <w:szCs w:val="32"/>
          <w:highlight w:val="none"/>
          <w:lang w:val="en-US" w:eastAsia="zh-CN"/>
        </w:rPr>
        <w:t>76.35万</w:t>
      </w:r>
      <w:r>
        <w:rPr>
          <w:rFonts w:hint="eastAsia" w:ascii="仿宋_GB2312" w:hAnsi="仿宋_GB2312" w:eastAsia="仿宋_GB2312" w:cs="仿宋_GB2312"/>
          <w:color w:val="auto"/>
          <w:sz w:val="32"/>
          <w:szCs w:val="32"/>
          <w:highlight w:val="none"/>
          <w:lang w:val="en-US" w:eastAsia="zh-CN"/>
        </w:rPr>
        <w:t>，到位率良好，该指标得分为3分。</w:t>
      </w:r>
    </w:p>
    <w:p>
      <w:pPr>
        <w:pStyle w:val="12"/>
        <w:spacing w:line="360" w:lineRule="auto"/>
        <w:ind w:left="0" w:leftChars="0" w:firstLine="640"/>
        <w:rPr>
          <w:rFonts w:hint="eastAsia" w:ascii="仿宋_GB2312" w:hAnsi="仿宋_GB2312" w:eastAsia="仿宋_GB2312" w:cs="仿宋_GB2312"/>
          <w:b/>
          <w:bCs/>
          <w:color w:val="auto"/>
          <w:sz w:val="32"/>
          <w:szCs w:val="32"/>
          <w:highlight w:val="none"/>
        </w:rPr>
      </w:pPr>
      <w:r>
        <w:rPr>
          <w:rFonts w:hint="eastAsia" w:ascii="仿宋_GB2312" w:hAnsi="仿宋_GB2312" w:cs="仿宋_GB2312"/>
          <w:b/>
          <w:bCs/>
          <w:color w:val="auto"/>
          <w:sz w:val="32"/>
          <w:szCs w:val="32"/>
          <w:highlight w:val="none"/>
          <w:lang w:val="en-US" w:eastAsia="zh-CN"/>
        </w:rPr>
        <w:t>2.</w:t>
      </w:r>
      <w:r>
        <w:rPr>
          <w:rFonts w:hint="eastAsia" w:ascii="仿宋_GB2312" w:hAnsi="仿宋_GB2312" w:eastAsia="仿宋_GB2312" w:cs="仿宋_GB2312"/>
          <w:b/>
          <w:bCs/>
          <w:color w:val="auto"/>
          <w:sz w:val="32"/>
          <w:szCs w:val="32"/>
          <w:highlight w:val="none"/>
        </w:rPr>
        <w:t>资金执行</w:t>
      </w:r>
      <w:r>
        <w:rPr>
          <w:rFonts w:hint="eastAsia" w:ascii="仿宋_GB2312" w:hAnsi="仿宋_GB2312" w:eastAsia="仿宋_GB2312" w:cs="仿宋_GB2312"/>
          <w:b/>
          <w:bCs/>
          <w:color w:val="auto"/>
          <w:sz w:val="32"/>
          <w:szCs w:val="32"/>
          <w:highlight w:val="none"/>
          <w:lang w:val="en-US" w:eastAsia="zh-CN"/>
        </w:rPr>
        <w:t>率</w:t>
      </w:r>
      <w:r>
        <w:rPr>
          <w:rFonts w:hint="eastAsia" w:ascii="仿宋_GB2312" w:hAnsi="仿宋_GB2312" w:eastAsia="仿宋_GB2312" w:cs="仿宋_GB2312"/>
          <w:b/>
          <w:bCs/>
          <w:color w:val="auto"/>
          <w:sz w:val="32"/>
          <w:szCs w:val="32"/>
          <w:highlight w:val="none"/>
        </w:rPr>
        <w:t>（3分）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lang w:eastAsia="zh-CN"/>
        </w:rPr>
        <w:t>2025年</w:t>
      </w:r>
      <w:r>
        <w:rPr>
          <w:rFonts w:hint="eastAsia" w:ascii="仿宋_GB2312" w:hAnsi="仿宋_GB2312" w:eastAsia="仿宋_GB2312" w:cs="仿宋_GB2312"/>
          <w:color w:val="auto"/>
          <w:sz w:val="32"/>
          <w:szCs w:val="32"/>
          <w:highlight w:val="none"/>
        </w:rPr>
        <w:t>度</w:t>
      </w:r>
      <w:r>
        <w:rPr>
          <w:rFonts w:hint="eastAsia" w:ascii="仿宋_GB2312" w:hAnsi="仿宋_GB2312" w:eastAsia="仿宋_GB2312" w:cs="仿宋_GB2312"/>
          <w:color w:val="auto"/>
          <w:sz w:val="32"/>
          <w:szCs w:val="32"/>
          <w:highlight w:val="none"/>
          <w:lang w:val="en-US" w:eastAsia="zh-CN"/>
        </w:rPr>
        <w:t>“贤士湖集贸市场周边小区微改造项目经费”</w:t>
      </w:r>
      <w:r>
        <w:rPr>
          <w:rFonts w:hint="eastAsia" w:ascii="仿宋_GB2312" w:hAnsi="仿宋_GB2312" w:eastAsia="仿宋_GB2312" w:cs="仿宋_GB2312"/>
          <w:color w:val="auto"/>
          <w:sz w:val="32"/>
          <w:szCs w:val="32"/>
          <w:highlight w:val="none"/>
        </w:rPr>
        <w:t>资金年初预算数</w:t>
      </w:r>
      <w:r>
        <w:rPr>
          <w:rFonts w:hint="eastAsia" w:ascii="仿宋_GB2312" w:hAnsi="仿宋_GB2312" w:eastAsia="仿宋_GB2312" w:cs="仿宋_GB2312"/>
          <w:color w:val="auto"/>
          <w:sz w:val="32"/>
          <w:szCs w:val="32"/>
          <w:highlight w:val="none"/>
          <w:lang w:val="en-US" w:eastAsia="zh-CN"/>
        </w:rPr>
        <w:t>76.85万</w:t>
      </w:r>
      <w:r>
        <w:rPr>
          <w:rFonts w:hint="eastAsia" w:ascii="仿宋_GB2312" w:hAnsi="仿宋_GB2312" w:eastAsia="仿宋_GB2312" w:cs="仿宋_GB2312"/>
          <w:color w:val="auto"/>
          <w:sz w:val="32"/>
          <w:szCs w:val="32"/>
          <w:highlight w:val="none"/>
        </w:rPr>
        <w:t>元，全年预算数</w:t>
      </w:r>
      <w:r>
        <w:rPr>
          <w:rFonts w:hint="eastAsia" w:ascii="仿宋_GB2312" w:hAnsi="仿宋_GB2312" w:eastAsia="仿宋_GB2312" w:cs="仿宋_GB2312"/>
          <w:color w:val="auto"/>
          <w:sz w:val="32"/>
          <w:szCs w:val="32"/>
          <w:highlight w:val="none"/>
          <w:lang w:val="en-US" w:eastAsia="zh-CN"/>
        </w:rPr>
        <w:t>76.85万</w:t>
      </w:r>
      <w:r>
        <w:rPr>
          <w:rFonts w:hint="eastAsia" w:ascii="仿宋_GB2312" w:hAnsi="仿宋_GB2312" w:eastAsia="仿宋_GB2312" w:cs="仿宋_GB2312"/>
          <w:color w:val="auto"/>
          <w:sz w:val="32"/>
          <w:szCs w:val="32"/>
          <w:highlight w:val="none"/>
        </w:rPr>
        <w:t>元，专项资金到位</w:t>
      </w:r>
      <w:r>
        <w:rPr>
          <w:rFonts w:hint="eastAsia" w:ascii="仿宋_GB2312" w:hAnsi="仿宋_GB2312" w:eastAsia="仿宋_GB2312" w:cs="仿宋_GB2312"/>
          <w:color w:val="auto"/>
          <w:sz w:val="32"/>
          <w:szCs w:val="32"/>
          <w:highlight w:val="none"/>
          <w:lang w:val="en-US" w:eastAsia="zh-CN"/>
        </w:rPr>
        <w:t>76.85万</w:t>
      </w:r>
      <w:r>
        <w:rPr>
          <w:rFonts w:hint="eastAsia" w:ascii="仿宋_GB2312" w:hAnsi="仿宋_GB2312" w:eastAsia="仿宋_GB2312" w:cs="仿宋_GB2312"/>
          <w:color w:val="auto"/>
          <w:sz w:val="32"/>
          <w:szCs w:val="32"/>
          <w:highlight w:val="none"/>
        </w:rPr>
        <w:t>元，全年执行数</w:t>
      </w:r>
      <w:r>
        <w:rPr>
          <w:rFonts w:hint="eastAsia" w:ascii="仿宋_GB2312" w:hAnsi="仿宋_GB2312" w:eastAsia="仿宋_GB2312" w:cs="仿宋_GB2312"/>
          <w:color w:val="auto"/>
          <w:sz w:val="32"/>
          <w:szCs w:val="32"/>
          <w:highlight w:val="none"/>
          <w:lang w:val="en-US" w:eastAsia="zh-CN"/>
        </w:rPr>
        <w:t>76.35万</w:t>
      </w:r>
      <w:r>
        <w:rPr>
          <w:rFonts w:hint="eastAsia" w:ascii="仿宋_GB2312" w:hAnsi="仿宋_GB2312" w:eastAsia="仿宋_GB2312" w:cs="仿宋_GB2312"/>
          <w:color w:val="auto"/>
          <w:sz w:val="32"/>
          <w:szCs w:val="32"/>
          <w:highlight w:val="none"/>
        </w:rPr>
        <w:t>元，预算资金执行率</w:t>
      </w:r>
      <w:r>
        <w:rPr>
          <w:rFonts w:hint="eastAsia" w:ascii="仿宋_GB2312" w:hAnsi="仿宋_GB2312" w:eastAsia="仿宋_GB2312" w:cs="仿宋_GB2312"/>
          <w:color w:val="auto"/>
          <w:sz w:val="32"/>
          <w:szCs w:val="32"/>
          <w:highlight w:val="none"/>
          <w:lang w:val="en-US" w:eastAsia="zh-CN"/>
        </w:rPr>
        <w:t>97.43%</w:t>
      </w:r>
      <w:r>
        <w:rPr>
          <w:rFonts w:hint="eastAsia" w:ascii="仿宋_GB2312" w:hAnsi="仿宋_GB2312" w:eastAsia="仿宋_GB2312" w:cs="仿宋_GB2312"/>
          <w:color w:val="auto"/>
          <w:sz w:val="32"/>
          <w:szCs w:val="32"/>
          <w:highlight w:val="none"/>
        </w:rPr>
        <w:t>。执行情况</w:t>
      </w:r>
      <w:r>
        <w:rPr>
          <w:rFonts w:hint="eastAsia" w:ascii="仿宋_GB2312" w:hAnsi="仿宋_GB2312" w:eastAsia="仿宋_GB2312" w:cs="仿宋_GB2312"/>
          <w:color w:val="auto"/>
          <w:sz w:val="32"/>
          <w:szCs w:val="32"/>
          <w:highlight w:val="none"/>
          <w:lang w:val="en-US" w:eastAsia="zh-CN"/>
        </w:rPr>
        <w:t>较好</w:t>
      </w:r>
      <w:r>
        <w:rPr>
          <w:rFonts w:hint="eastAsia" w:ascii="仿宋_GB2312" w:hAnsi="仿宋_GB2312" w:eastAsia="仿宋_GB2312" w:cs="仿宋_GB2312"/>
          <w:color w:val="auto"/>
          <w:sz w:val="32"/>
          <w:szCs w:val="32"/>
          <w:highlight w:val="none"/>
        </w:rPr>
        <w:t>，该指标得分为</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分。</w:t>
      </w:r>
    </w:p>
    <w:p>
      <w:pPr>
        <w:pStyle w:val="2"/>
        <w:spacing w:before="0" w:after="0" w:line="360" w:lineRule="auto"/>
        <w:ind w:firstLine="643" w:firstLineChars="200"/>
        <w:rPr>
          <w:rFonts w:hint="eastAsia" w:ascii="仿宋_GB2312" w:hAnsi="仿宋_GB2312" w:eastAsia="仿宋_GB2312" w:cs="仿宋_GB2312"/>
          <w:b/>
          <w:bCs/>
          <w:color w:val="auto"/>
          <w:szCs w:val="32"/>
          <w:highlight w:val="none"/>
        </w:rPr>
      </w:pPr>
      <w:r>
        <w:rPr>
          <w:rFonts w:hint="eastAsia" w:ascii="仿宋_GB2312" w:hAnsi="仿宋_GB2312" w:eastAsia="仿宋_GB2312" w:cs="仿宋_GB2312"/>
          <w:b/>
          <w:bCs/>
          <w:color w:val="auto"/>
          <w:szCs w:val="32"/>
          <w:highlight w:val="none"/>
          <w:lang w:val="en-US" w:eastAsia="zh-CN"/>
        </w:rPr>
        <w:t>3.</w:t>
      </w:r>
      <w:r>
        <w:rPr>
          <w:rFonts w:hint="eastAsia" w:ascii="仿宋_GB2312" w:hAnsi="仿宋_GB2312" w:eastAsia="仿宋_GB2312" w:cs="仿宋_GB2312"/>
          <w:b/>
          <w:bCs/>
          <w:color w:val="auto"/>
          <w:szCs w:val="32"/>
          <w:highlight w:val="none"/>
        </w:rPr>
        <w:t>资金使用</w:t>
      </w:r>
      <w:r>
        <w:rPr>
          <w:rFonts w:hint="eastAsia" w:ascii="仿宋_GB2312" w:hAnsi="仿宋_GB2312" w:eastAsia="仿宋_GB2312" w:cs="仿宋_GB2312"/>
          <w:b/>
          <w:bCs/>
          <w:color w:val="auto"/>
          <w:szCs w:val="32"/>
          <w:highlight w:val="none"/>
          <w:lang w:val="en-US" w:eastAsia="zh-CN"/>
        </w:rPr>
        <w:t>合规性</w:t>
      </w:r>
      <w:r>
        <w:rPr>
          <w:rFonts w:hint="eastAsia" w:ascii="仿宋_GB2312" w:hAnsi="仿宋_GB2312" w:eastAsia="仿宋_GB2312" w:cs="仿宋_GB2312"/>
          <w:b/>
          <w:bCs/>
          <w:color w:val="auto"/>
          <w:szCs w:val="32"/>
          <w:highlight w:val="none"/>
        </w:rPr>
        <w:t>（</w:t>
      </w:r>
      <w:r>
        <w:rPr>
          <w:rFonts w:hint="eastAsia" w:ascii="仿宋_GB2312" w:hAnsi="仿宋_GB2312" w:eastAsia="仿宋_GB2312" w:cs="仿宋_GB2312"/>
          <w:b/>
          <w:bCs/>
          <w:color w:val="auto"/>
          <w:szCs w:val="32"/>
          <w:highlight w:val="none"/>
          <w:lang w:val="en-US" w:eastAsia="zh-CN"/>
        </w:rPr>
        <w:t>3</w:t>
      </w:r>
      <w:r>
        <w:rPr>
          <w:rFonts w:hint="eastAsia" w:ascii="仿宋_GB2312" w:hAnsi="仿宋_GB2312" w:eastAsia="仿宋_GB2312" w:cs="仿宋_GB2312"/>
          <w:b/>
          <w:bCs/>
          <w:color w:val="auto"/>
          <w:szCs w:val="32"/>
          <w:highlight w:val="none"/>
        </w:rPr>
        <w:t>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在项目资金管理中，严格按照</w:t>
      </w:r>
      <w:r>
        <w:rPr>
          <w:rFonts w:hint="eastAsia" w:ascii="仿宋_GB2312" w:hAnsi="仿宋_GB2312" w:eastAsia="仿宋_GB2312" w:cs="仿宋_GB2312"/>
          <w:color w:val="auto"/>
          <w:sz w:val="32"/>
          <w:szCs w:val="32"/>
          <w:highlight w:val="none"/>
          <w:lang w:val="en-US" w:eastAsia="zh-CN"/>
        </w:rPr>
        <w:t>资金</w:t>
      </w:r>
      <w:r>
        <w:rPr>
          <w:rFonts w:hint="eastAsia" w:ascii="仿宋_GB2312" w:hAnsi="仿宋_GB2312" w:eastAsia="仿宋_GB2312" w:cs="仿宋_GB2312"/>
          <w:color w:val="auto"/>
          <w:sz w:val="32"/>
          <w:szCs w:val="32"/>
          <w:highlight w:val="none"/>
        </w:rPr>
        <w:t>管理</w:t>
      </w:r>
      <w:r>
        <w:rPr>
          <w:rFonts w:hint="eastAsia" w:ascii="仿宋_GB2312" w:hAnsi="仿宋_GB2312" w:eastAsia="仿宋_GB2312" w:cs="仿宋_GB2312"/>
          <w:color w:val="auto"/>
          <w:sz w:val="32"/>
          <w:szCs w:val="32"/>
          <w:highlight w:val="none"/>
          <w:lang w:val="en-US" w:eastAsia="zh-CN"/>
        </w:rPr>
        <w:t>办法</w:t>
      </w:r>
      <w:r>
        <w:rPr>
          <w:rFonts w:hint="eastAsia" w:ascii="仿宋_GB2312" w:hAnsi="仿宋_GB2312" w:eastAsia="仿宋_GB2312" w:cs="仿宋_GB2312"/>
          <w:color w:val="auto"/>
          <w:sz w:val="32"/>
          <w:szCs w:val="32"/>
          <w:highlight w:val="none"/>
        </w:rPr>
        <w:t>制度，严格</w:t>
      </w:r>
      <w:r>
        <w:rPr>
          <w:rFonts w:hint="eastAsia" w:ascii="仿宋_GB2312" w:hAnsi="仿宋_GB2312" w:eastAsia="仿宋_GB2312" w:cs="仿宋_GB2312"/>
          <w:color w:val="auto"/>
          <w:sz w:val="32"/>
          <w:szCs w:val="32"/>
          <w:highlight w:val="none"/>
          <w:lang w:val="en-US" w:eastAsia="zh-CN"/>
        </w:rPr>
        <w:t>专款专用</w:t>
      </w:r>
      <w:r>
        <w:rPr>
          <w:rFonts w:hint="eastAsia" w:ascii="仿宋_GB2312" w:hAnsi="仿宋_GB2312" w:eastAsia="仿宋_GB2312" w:cs="仿宋_GB2312"/>
          <w:color w:val="auto"/>
          <w:sz w:val="32"/>
          <w:szCs w:val="32"/>
          <w:highlight w:val="none"/>
        </w:rPr>
        <w:t>，该项指标得</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分。</w:t>
      </w:r>
    </w:p>
    <w:p>
      <w:pPr>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4.</w:t>
      </w:r>
      <w:r>
        <w:rPr>
          <w:rFonts w:hint="eastAsia" w:ascii="仿宋_GB2312" w:hAnsi="仿宋_GB2312" w:eastAsia="仿宋_GB2312" w:cs="仿宋_GB2312"/>
          <w:b/>
          <w:bCs/>
          <w:color w:val="auto"/>
          <w:sz w:val="32"/>
          <w:szCs w:val="32"/>
          <w:highlight w:val="none"/>
        </w:rPr>
        <w:t>组织实施（</w:t>
      </w:r>
      <w:r>
        <w:rPr>
          <w:rFonts w:hint="eastAsia" w:ascii="仿宋_GB2312" w:hAnsi="仿宋_GB2312" w:eastAsia="仿宋_GB2312" w:cs="仿宋_GB2312"/>
          <w:b/>
          <w:bCs/>
          <w:color w:val="auto"/>
          <w:sz w:val="32"/>
          <w:szCs w:val="32"/>
          <w:highlight w:val="none"/>
          <w:lang w:val="en-US" w:eastAsia="zh-CN"/>
        </w:rPr>
        <w:t>6</w:t>
      </w:r>
      <w:r>
        <w:rPr>
          <w:rFonts w:hint="eastAsia" w:ascii="仿宋_GB2312" w:hAnsi="仿宋_GB2312" w:eastAsia="仿宋_GB2312" w:cs="仿宋_GB2312"/>
          <w:b/>
          <w:bCs/>
          <w:color w:val="auto"/>
          <w:sz w:val="32"/>
          <w:szCs w:val="32"/>
          <w:highlight w:val="none"/>
        </w:rPr>
        <w:t>分）</w:t>
      </w:r>
    </w:p>
    <w:p>
      <w:pPr>
        <w:pStyle w:val="10"/>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管理制度健全性：根据</w:t>
      </w:r>
      <w:r>
        <w:rPr>
          <w:rFonts w:hint="eastAsia" w:ascii="仿宋_GB2312" w:hAnsi="仿宋_GB2312" w:eastAsia="仿宋_GB2312" w:cs="仿宋_GB2312"/>
          <w:color w:val="auto"/>
          <w:sz w:val="32"/>
          <w:szCs w:val="32"/>
          <w:highlight w:val="none"/>
          <w:lang w:val="en-US" w:eastAsia="zh-CN"/>
        </w:rPr>
        <w:t>东湖区项目资金使用管理办法</w:t>
      </w:r>
      <w:r>
        <w:rPr>
          <w:rFonts w:hint="eastAsia" w:ascii="仿宋_GB2312" w:hAnsi="仿宋_GB2312" w:eastAsia="仿宋_GB2312" w:cs="仿宋_GB2312"/>
          <w:color w:val="auto"/>
          <w:sz w:val="32"/>
          <w:szCs w:val="32"/>
          <w:highlight w:val="none"/>
        </w:rPr>
        <w:t>的要求</w:t>
      </w:r>
      <w:r>
        <w:rPr>
          <w:rFonts w:hint="eastAsia" w:ascii="仿宋_GB2312" w:hAnsi="仿宋_GB2312" w:eastAsia="仿宋_GB2312" w:cs="仿宋_GB2312"/>
          <w:color w:val="auto"/>
          <w:sz w:val="32"/>
          <w:szCs w:val="32"/>
          <w:highlight w:val="none"/>
          <w:lang w:val="en-US" w:eastAsia="zh-CN"/>
        </w:rPr>
        <w:t>,以实报实销制度为标准,</w:t>
      </w:r>
      <w:r>
        <w:rPr>
          <w:rFonts w:hint="eastAsia" w:ascii="仿宋_GB2312" w:hAnsi="仿宋_GB2312" w:eastAsia="仿宋_GB2312" w:cs="仿宋_GB2312"/>
          <w:color w:val="auto"/>
          <w:sz w:val="32"/>
          <w:szCs w:val="32"/>
          <w:highlight w:val="none"/>
        </w:rPr>
        <w:t>进行业务规范管理。依据评分标准，该指标得</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分。</w:t>
      </w:r>
    </w:p>
    <w:p>
      <w:pPr>
        <w:pStyle w:val="10"/>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制度</w:t>
      </w:r>
      <w:r>
        <w:rPr>
          <w:rFonts w:hint="eastAsia" w:ascii="仿宋_GB2312" w:hAnsi="仿宋_GB2312" w:eastAsia="仿宋_GB2312" w:cs="仿宋_GB2312"/>
          <w:color w:val="auto"/>
          <w:sz w:val="32"/>
          <w:szCs w:val="32"/>
          <w:highlight w:val="none"/>
        </w:rPr>
        <w:t>执行有效性：</w:t>
      </w:r>
      <w:r>
        <w:rPr>
          <w:rFonts w:hint="eastAsia" w:ascii="仿宋_GB2312" w:hAnsi="仿宋_GB2312" w:eastAsia="仿宋_GB2312" w:cs="仿宋_GB2312"/>
          <w:color w:val="auto"/>
          <w:sz w:val="32"/>
          <w:szCs w:val="32"/>
          <w:highlight w:val="none"/>
          <w:lang w:val="en-US" w:eastAsia="zh-CN"/>
        </w:rPr>
        <w:t>本单位“贤士湖集贸市场周边小区微改造项目经费”项目统一管理，此项目</w:t>
      </w:r>
      <w:r>
        <w:rPr>
          <w:rFonts w:hint="eastAsia" w:ascii="仿宋_GB2312" w:hAnsi="仿宋_GB2312" w:eastAsia="仿宋_GB2312" w:cs="仿宋_GB2312"/>
          <w:color w:val="auto"/>
          <w:sz w:val="32"/>
          <w:szCs w:val="32"/>
          <w:highlight w:val="none"/>
        </w:rPr>
        <w:t>严格遵守，执行有效。依据评分标准，该指标得3分。</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（三）项目产出情况</w:t>
      </w:r>
    </w:p>
    <w:p>
      <w:pPr>
        <w:pStyle w:val="12"/>
        <w:spacing w:line="360" w:lineRule="auto"/>
        <w:ind w:left="0" w:leftChars="0" w:firstLine="643"/>
        <w:rPr>
          <w:rFonts w:hint="eastAsia" w:ascii="仿宋_GB2312" w:hAnsi="仿宋_GB2312" w:eastAsia="仿宋_GB2312" w:cs="仿宋_GB2312"/>
          <w:b/>
          <w:bCs/>
          <w:color w:val="auto"/>
          <w:sz w:val="32"/>
          <w:szCs w:val="32"/>
          <w:highlight w:val="none"/>
        </w:rPr>
      </w:pPr>
      <w:r>
        <w:rPr>
          <w:rFonts w:hint="eastAsia" w:ascii="仿宋_GB2312" w:hAnsi="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lang w:val="en-US" w:eastAsia="zh-CN"/>
        </w:rPr>
        <w:t>产出</w:t>
      </w:r>
      <w:r>
        <w:rPr>
          <w:rFonts w:hint="eastAsia" w:ascii="仿宋_GB2312" w:hAnsi="仿宋_GB2312" w:eastAsia="仿宋_GB2312" w:cs="仿宋_GB2312"/>
          <w:b/>
          <w:bCs/>
          <w:color w:val="auto"/>
          <w:sz w:val="32"/>
          <w:szCs w:val="32"/>
          <w:highlight w:val="none"/>
        </w:rPr>
        <w:t>数量指标（10分）</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支付金额=768533.09元，达标，</w:t>
      </w:r>
      <w:r>
        <w:rPr>
          <w:rFonts w:hint="eastAsia" w:ascii="仿宋_GB2312" w:hAnsi="仿宋_GB2312" w:eastAsia="仿宋_GB2312" w:cs="仿宋_GB2312"/>
          <w:color w:val="auto"/>
          <w:sz w:val="32"/>
          <w:szCs w:val="32"/>
          <w:highlight w:val="none"/>
          <w:lang w:val="en-US" w:eastAsia="zh-CN"/>
        </w:rPr>
        <w:t>评分10分</w:t>
      </w:r>
    </w:p>
    <w:p>
      <w:pPr>
        <w:numPr>
          <w:ilvl w:val="0"/>
          <w:numId w:val="2"/>
        </w:numPr>
        <w:spacing w:line="360" w:lineRule="auto"/>
        <w:ind w:left="319" w:leftChars="152" w:firstLine="321" w:firstLineChars="100"/>
        <w:jc w:val="left"/>
        <w:rPr>
          <w:rFonts w:hint="eastAsia" w:ascii="仿宋_GB2312" w:hAnsi="仿宋_GB2312" w:eastAsia="仿宋_GB2312" w:cs="仿宋_GB2312"/>
          <w:color w:val="auto"/>
          <w:kern w:val="0"/>
          <w:sz w:val="32"/>
          <w:szCs w:val="32"/>
          <w:highlight w:val="none"/>
          <w:lang w:val="en-US"/>
        </w:rPr>
      </w:pPr>
      <w:r>
        <w:rPr>
          <w:rFonts w:hint="eastAsia" w:ascii="仿宋_GB2312" w:hAnsi="仿宋_GB2312" w:eastAsia="仿宋_GB2312" w:cs="仿宋_GB2312"/>
          <w:b/>
          <w:bCs/>
          <w:color w:val="auto"/>
          <w:sz w:val="32"/>
          <w:szCs w:val="32"/>
          <w:highlight w:val="none"/>
          <w:lang w:val="en-US" w:eastAsia="zh-CN"/>
        </w:rPr>
        <w:t>产出</w:t>
      </w:r>
      <w:r>
        <w:rPr>
          <w:rFonts w:hint="eastAsia" w:ascii="仿宋_GB2312" w:hAnsi="仿宋_GB2312" w:eastAsia="仿宋_GB2312" w:cs="仿宋_GB2312"/>
          <w:b/>
          <w:bCs/>
          <w:color w:val="auto"/>
          <w:sz w:val="32"/>
          <w:szCs w:val="32"/>
          <w:highlight w:val="none"/>
        </w:rPr>
        <w:t>质量指标（10分）</w:t>
      </w:r>
      <w:r>
        <w:rPr>
          <w:rFonts w:hint="eastAsia" w:ascii="仿宋_GB2312" w:hAnsi="仿宋_GB2312" w:eastAsia="仿宋_GB2312" w:cs="仿宋_GB2312"/>
          <w:color w:val="auto"/>
          <w:kern w:val="0"/>
          <w:sz w:val="32"/>
          <w:szCs w:val="32"/>
          <w:highlight w:val="none"/>
          <w:lang w:val="en-US"/>
        </w:rPr>
        <w:br w:type="textWrapping"/>
      </w:r>
      <w:r>
        <w:rPr>
          <w:rFonts w:hint="eastAsia" w:ascii="仿宋_GB2312" w:hAnsi="仿宋_GB2312" w:eastAsia="仿宋_GB2312" w:cs="仿宋_GB2312"/>
          <w:color w:val="auto"/>
          <w:kern w:val="0"/>
          <w:sz w:val="32"/>
          <w:szCs w:val="32"/>
          <w:highlight w:val="none"/>
          <w:lang w:val="en-US"/>
        </w:rPr>
        <w:t>支付对象符合支付标准</w:t>
      </w:r>
      <w:r>
        <w:rPr>
          <w:rFonts w:hint="eastAsia" w:ascii="仿宋_GB2312" w:hAnsi="仿宋_GB2312" w:eastAsia="仿宋_GB2312" w:cs="仿宋_GB2312"/>
          <w:color w:val="auto"/>
          <w:kern w:val="0"/>
          <w:sz w:val="32"/>
          <w:szCs w:val="32"/>
          <w:highlight w:val="none"/>
          <w:lang w:val="en-US" w:eastAsia="zh-CN"/>
        </w:rPr>
        <w:t>为</w:t>
      </w:r>
      <w:r>
        <w:rPr>
          <w:rFonts w:hint="eastAsia" w:ascii="仿宋_GB2312" w:hAnsi="仿宋_GB2312" w:eastAsia="仿宋_GB2312" w:cs="仿宋_GB2312"/>
          <w:color w:val="auto"/>
          <w:kern w:val="0"/>
          <w:sz w:val="32"/>
          <w:szCs w:val="32"/>
          <w:highlight w:val="none"/>
          <w:lang w:val="en-US"/>
        </w:rPr>
        <w:t>符合。</w:t>
      </w:r>
      <w:r>
        <w:rPr>
          <w:rFonts w:hint="eastAsia" w:ascii="仿宋_GB2312" w:hAnsi="仿宋_GB2312" w:eastAsia="仿宋_GB2312" w:cs="仿宋_GB2312"/>
          <w:color w:val="auto"/>
          <w:kern w:val="0"/>
          <w:sz w:val="32"/>
          <w:szCs w:val="32"/>
          <w:highlight w:val="none"/>
          <w:lang w:val="en-US" w:eastAsia="zh-CN"/>
        </w:rPr>
        <w:t>达标，</w:t>
      </w:r>
      <w:r>
        <w:rPr>
          <w:rFonts w:hint="eastAsia" w:ascii="仿宋_GB2312" w:hAnsi="仿宋_GB2312" w:eastAsia="仿宋_GB2312" w:cs="仿宋_GB2312"/>
          <w:color w:val="auto"/>
          <w:kern w:val="0"/>
          <w:sz w:val="32"/>
          <w:szCs w:val="32"/>
          <w:highlight w:val="none"/>
          <w:lang w:val="en-US"/>
        </w:rPr>
        <w:t xml:space="preserve">依据评分标准，得10分。 </w:t>
      </w:r>
    </w:p>
    <w:p>
      <w:pPr>
        <w:pStyle w:val="10"/>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3.产生</w:t>
      </w:r>
      <w:r>
        <w:rPr>
          <w:rFonts w:hint="eastAsia" w:ascii="仿宋_GB2312" w:hAnsi="仿宋_GB2312" w:eastAsia="仿宋_GB2312" w:cs="仿宋_GB2312"/>
          <w:b/>
          <w:bCs/>
          <w:color w:val="auto"/>
          <w:sz w:val="32"/>
          <w:szCs w:val="32"/>
          <w:highlight w:val="none"/>
        </w:rPr>
        <w:t>时效指标（</w:t>
      </w:r>
      <w:r>
        <w:rPr>
          <w:rFonts w:hint="eastAsia" w:ascii="仿宋_GB2312" w:hAnsi="仿宋_GB2312" w:eastAsia="仿宋_GB2312" w:cs="仿宋_GB2312"/>
          <w:b/>
          <w:bCs/>
          <w:color w:val="auto"/>
          <w:sz w:val="32"/>
          <w:szCs w:val="32"/>
          <w:highlight w:val="none"/>
          <w:lang w:val="en-US" w:eastAsia="zh-CN"/>
        </w:rPr>
        <w:t>10</w:t>
      </w:r>
      <w:r>
        <w:rPr>
          <w:rFonts w:hint="eastAsia" w:ascii="仿宋_GB2312" w:hAnsi="仿宋_GB2312" w:eastAsia="仿宋_GB2312" w:cs="仿宋_GB2312"/>
          <w:b/>
          <w:bCs/>
          <w:color w:val="auto"/>
          <w:sz w:val="32"/>
          <w:szCs w:val="32"/>
          <w:highlight w:val="none"/>
        </w:rPr>
        <w:t>分）</w:t>
      </w:r>
    </w:p>
    <w:p>
      <w:pPr>
        <w:keepNext w:val="0"/>
        <w:keepLines w:val="0"/>
        <w:pageBreakBefore w:val="0"/>
        <w:widowControl w:val="0"/>
        <w:kinsoku/>
        <w:wordWrap/>
        <w:overflowPunct/>
        <w:topLinePunct w:val="0"/>
        <w:autoSpaceDE/>
        <w:autoSpaceDN/>
        <w:bidi w:val="0"/>
        <w:adjustRightInd/>
        <w:snapToGrid/>
        <w:spacing w:line="560" w:lineRule="exact"/>
        <w:ind w:firstLine="240" w:firstLineChars="100"/>
        <w:textAlignment w:val="auto"/>
        <w:rPr>
          <w:rFonts w:hint="eastAsia" w:ascii="仿宋_GB2312" w:hAnsi="仿宋_GB2312" w:eastAsia="仿宋_GB2312" w:cs="仿宋_GB2312"/>
          <w:color w:val="auto"/>
          <w:kern w:val="0"/>
          <w:sz w:val="32"/>
          <w:szCs w:val="32"/>
          <w:highlight w:val="none"/>
          <w:lang w:val="en-US"/>
        </w:rPr>
      </w:pPr>
      <w:r>
        <w:rPr>
          <w:rFonts w:ascii="宋体" w:hAnsi="宋体" w:eastAsia="宋体" w:cs="宋体"/>
          <w:sz w:val="24"/>
          <w:szCs w:val="24"/>
        </w:rPr>
        <w:br w:type="textWrapping"/>
      </w:r>
      <w:r>
        <w:rPr>
          <w:rFonts w:hint="eastAsia" w:ascii="仿宋_GB2312" w:hAnsi="仿宋_GB2312" w:eastAsia="仿宋_GB2312" w:cs="仿宋_GB2312"/>
          <w:color w:val="auto"/>
          <w:kern w:val="0"/>
          <w:sz w:val="32"/>
          <w:szCs w:val="32"/>
          <w:highlight w:val="none"/>
          <w:lang w:val="en-US"/>
        </w:rPr>
        <w:t>足额支付金额</w:t>
      </w:r>
      <w:r>
        <w:rPr>
          <w:rFonts w:hint="eastAsia" w:ascii="仿宋_GB2312" w:hAnsi="仿宋_GB2312" w:eastAsia="仿宋_GB2312" w:cs="仿宋_GB2312"/>
          <w:color w:val="auto"/>
          <w:kern w:val="0"/>
          <w:sz w:val="32"/>
          <w:szCs w:val="32"/>
          <w:highlight w:val="none"/>
          <w:lang w:val="en-US" w:eastAsia="zh-CN"/>
        </w:rPr>
        <w:t>为</w:t>
      </w:r>
      <w:r>
        <w:rPr>
          <w:rFonts w:hint="eastAsia" w:ascii="仿宋_GB2312" w:hAnsi="仿宋_GB2312" w:eastAsia="仿宋_GB2312" w:cs="仿宋_GB2312"/>
          <w:color w:val="auto"/>
          <w:kern w:val="0"/>
          <w:sz w:val="32"/>
          <w:szCs w:val="32"/>
          <w:highlight w:val="none"/>
          <w:lang w:val="en-US"/>
        </w:rPr>
        <w:t>足额。</w:t>
      </w:r>
      <w:r>
        <w:rPr>
          <w:rFonts w:hint="eastAsia" w:ascii="仿宋_GB2312" w:hAnsi="仿宋_GB2312" w:eastAsia="仿宋_GB2312" w:cs="仿宋_GB2312"/>
          <w:color w:val="auto"/>
          <w:kern w:val="0"/>
          <w:sz w:val="32"/>
          <w:szCs w:val="32"/>
          <w:highlight w:val="none"/>
          <w:lang w:val="en-US" w:eastAsia="zh-CN"/>
        </w:rPr>
        <w:t>达标，</w:t>
      </w:r>
      <w:r>
        <w:rPr>
          <w:rFonts w:hint="eastAsia" w:ascii="仿宋_GB2312" w:hAnsi="仿宋_GB2312" w:eastAsia="仿宋_GB2312" w:cs="仿宋_GB2312"/>
          <w:color w:val="auto"/>
          <w:kern w:val="0"/>
          <w:sz w:val="32"/>
          <w:szCs w:val="32"/>
          <w:highlight w:val="none"/>
          <w:lang w:val="en-US"/>
        </w:rPr>
        <w:t>依据评分标准，得10分。</w:t>
      </w:r>
    </w:p>
    <w:p>
      <w:pPr>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4.产出</w:t>
      </w:r>
      <w:r>
        <w:rPr>
          <w:rFonts w:hint="eastAsia" w:ascii="仿宋_GB2312" w:hAnsi="仿宋_GB2312" w:eastAsia="仿宋_GB2312" w:cs="仿宋_GB2312"/>
          <w:b/>
          <w:bCs/>
          <w:color w:val="auto"/>
          <w:sz w:val="32"/>
          <w:szCs w:val="32"/>
          <w:highlight w:val="none"/>
        </w:rPr>
        <w:t>成本</w:t>
      </w:r>
      <w:r>
        <w:rPr>
          <w:rFonts w:hint="eastAsia" w:ascii="仿宋_GB2312" w:hAnsi="仿宋_GB2312" w:eastAsia="仿宋_GB2312" w:cs="仿宋_GB2312"/>
          <w:b/>
          <w:bCs/>
          <w:color w:val="auto"/>
          <w:sz w:val="32"/>
          <w:szCs w:val="32"/>
          <w:highlight w:val="none"/>
          <w:lang w:val="en-US" w:eastAsia="zh-CN"/>
        </w:rPr>
        <w:t>指标</w:t>
      </w:r>
      <w:r>
        <w:rPr>
          <w:rFonts w:hint="eastAsia" w:ascii="仿宋_GB2312" w:hAnsi="仿宋_GB2312" w:eastAsia="仿宋_GB2312" w:cs="仿宋_GB2312"/>
          <w:b/>
          <w:bCs/>
          <w:color w:val="auto"/>
          <w:sz w:val="32"/>
          <w:szCs w:val="32"/>
          <w:highlight w:val="none"/>
        </w:rPr>
        <w:t>（10分）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项目资金</w:t>
      </w:r>
      <w:r>
        <w:rPr>
          <w:rFonts w:hint="eastAsia" w:ascii="仿宋_GB2312" w:hAnsi="仿宋_GB2312" w:eastAsia="仿宋_GB2312" w:cs="仿宋_GB2312"/>
          <w:color w:val="auto"/>
          <w:sz w:val="32"/>
          <w:szCs w:val="32"/>
          <w:highlight w:val="none"/>
          <w:lang w:val="en-US" w:eastAsia="zh-CN"/>
        </w:rPr>
        <w:t>到位76.85万</w:t>
      </w:r>
      <w:r>
        <w:rPr>
          <w:rFonts w:hint="eastAsia" w:ascii="仿宋_GB2312" w:hAnsi="仿宋_GB2312" w:eastAsia="仿宋_GB2312" w:cs="仿宋_GB2312"/>
          <w:color w:val="auto"/>
          <w:sz w:val="32"/>
          <w:szCs w:val="32"/>
          <w:highlight w:val="none"/>
        </w:rPr>
        <w:t>，实际完成值为</w:t>
      </w:r>
      <w:r>
        <w:rPr>
          <w:rFonts w:hint="eastAsia" w:ascii="仿宋_GB2312" w:hAnsi="仿宋_GB2312" w:eastAsia="仿宋_GB2312" w:cs="仿宋_GB2312"/>
          <w:color w:val="auto"/>
          <w:sz w:val="32"/>
          <w:szCs w:val="32"/>
          <w:highlight w:val="none"/>
          <w:lang w:val="en-US" w:eastAsia="zh-CN"/>
        </w:rPr>
        <w:t>76.35万</w:t>
      </w:r>
      <w:r>
        <w:rPr>
          <w:rFonts w:hint="eastAsia" w:ascii="仿宋_GB2312" w:hAnsi="仿宋_GB2312" w:eastAsia="仿宋_GB2312" w:cs="仿宋_GB2312"/>
          <w:color w:val="auto"/>
          <w:sz w:val="32"/>
          <w:szCs w:val="32"/>
          <w:highlight w:val="none"/>
        </w:rPr>
        <w:t>元。</w:t>
      </w:r>
      <w:r>
        <w:rPr>
          <w:rFonts w:hint="eastAsia" w:ascii="仿宋_GB2312" w:hAnsi="仿宋_GB2312" w:eastAsia="仿宋_GB2312" w:cs="仿宋_GB2312"/>
          <w:color w:val="auto"/>
          <w:kern w:val="0"/>
          <w:sz w:val="32"/>
          <w:szCs w:val="32"/>
          <w:highlight w:val="none"/>
          <w:lang w:val="en-US" w:eastAsia="zh-CN"/>
        </w:rPr>
        <w:t>达标，</w:t>
      </w:r>
      <w:r>
        <w:rPr>
          <w:rFonts w:hint="eastAsia" w:ascii="仿宋_GB2312" w:hAnsi="仿宋_GB2312" w:eastAsia="仿宋_GB2312" w:cs="仿宋_GB2312"/>
          <w:color w:val="auto"/>
          <w:sz w:val="32"/>
          <w:szCs w:val="32"/>
          <w:highlight w:val="none"/>
        </w:rPr>
        <w:t>依据评分标准，得分</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分。</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（四）项目效益情况。</w:t>
      </w:r>
    </w:p>
    <w:p>
      <w:pPr>
        <w:pStyle w:val="12"/>
        <w:spacing w:line="360" w:lineRule="auto"/>
        <w:ind w:left="638" w:leftChars="304" w:firstLine="0" w:firstLineChars="0"/>
        <w:rPr>
          <w:rFonts w:hint="eastAsia" w:ascii="仿宋_GB2312" w:hAnsi="仿宋_GB2312" w:eastAsia="仿宋_GB2312" w:cs="仿宋_GB2312"/>
          <w:color w:val="auto"/>
          <w:kern w:val="0"/>
          <w:sz w:val="32"/>
          <w:szCs w:val="32"/>
          <w:highlight w:val="none"/>
          <w:lang w:val="en-US"/>
        </w:rPr>
      </w:pPr>
      <w:r>
        <w:rPr>
          <w:rFonts w:hint="eastAsia" w:ascii="仿宋_GB2312" w:hAnsi="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rPr>
        <w:t>社会效益（</w:t>
      </w:r>
      <w:r>
        <w:rPr>
          <w:rFonts w:hint="eastAsia" w:ascii="仿宋_GB2312" w:hAnsi="仿宋_GB2312" w:eastAsia="仿宋_GB2312" w:cs="仿宋_GB2312"/>
          <w:b/>
          <w:bCs/>
          <w:color w:val="auto"/>
          <w:sz w:val="32"/>
          <w:szCs w:val="32"/>
          <w:highlight w:val="none"/>
          <w:lang w:val="en-US" w:eastAsia="zh-CN"/>
        </w:rPr>
        <w:t>1</w:t>
      </w:r>
      <w:r>
        <w:rPr>
          <w:rFonts w:hint="eastAsia" w:ascii="仿宋_GB2312" w:hAnsi="仿宋_GB2312" w:cs="仿宋_GB2312"/>
          <w:b/>
          <w:bCs/>
          <w:color w:val="auto"/>
          <w:sz w:val="32"/>
          <w:szCs w:val="32"/>
          <w:highlight w:val="none"/>
          <w:lang w:val="en-US" w:eastAsia="zh-CN"/>
        </w:rPr>
        <w:t>5</w:t>
      </w:r>
      <w:r>
        <w:rPr>
          <w:rFonts w:hint="eastAsia" w:ascii="仿宋_GB2312" w:hAnsi="仿宋_GB2312" w:eastAsia="仿宋_GB2312" w:cs="仿宋_GB2312"/>
          <w:b/>
          <w:bCs/>
          <w:color w:val="auto"/>
          <w:sz w:val="32"/>
          <w:szCs w:val="32"/>
          <w:highlight w:val="none"/>
        </w:rPr>
        <w:t>分）</w:t>
      </w:r>
      <w:r>
        <w:rPr>
          <w:rFonts w:ascii="宋体" w:hAnsi="宋体" w:eastAsia="宋体" w:cs="宋体"/>
          <w:sz w:val="24"/>
          <w:szCs w:val="24"/>
          <w:highlight w:val="none"/>
        </w:rPr>
        <w:br w:type="textWrapping"/>
      </w:r>
      <w:r>
        <w:rPr>
          <w:rFonts w:hint="eastAsia" w:ascii="仿宋_GB2312" w:hAnsi="仿宋_GB2312" w:eastAsia="仿宋_GB2312" w:cs="仿宋_GB2312"/>
          <w:color w:val="auto"/>
          <w:kern w:val="0"/>
          <w:sz w:val="32"/>
          <w:szCs w:val="32"/>
          <w:highlight w:val="none"/>
          <w:lang w:val="en-US"/>
        </w:rPr>
        <w:t>服务水平</w:t>
      </w:r>
      <w:r>
        <w:rPr>
          <w:rFonts w:hint="eastAsia" w:ascii="仿宋_GB2312" w:hAnsi="仿宋_GB2312" w:cs="仿宋_GB2312"/>
          <w:color w:val="auto"/>
          <w:kern w:val="0"/>
          <w:sz w:val="32"/>
          <w:szCs w:val="32"/>
          <w:highlight w:val="none"/>
          <w:lang w:val="en-US" w:eastAsia="zh-CN"/>
        </w:rPr>
        <w:t>为有所提升</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rPr>
        <w:t>依据评分标准，得</w:t>
      </w:r>
      <w:r>
        <w:rPr>
          <w:rFonts w:hint="eastAsia" w:ascii="仿宋_GB2312" w:hAnsi="仿宋_GB2312" w:cs="仿宋_GB2312"/>
          <w:color w:val="auto"/>
          <w:kern w:val="0"/>
          <w:sz w:val="32"/>
          <w:szCs w:val="32"/>
          <w:highlight w:val="none"/>
          <w:lang w:val="en-US" w:eastAsia="zh-CN"/>
        </w:rPr>
        <w:t>13</w:t>
      </w:r>
      <w:r>
        <w:rPr>
          <w:rFonts w:hint="eastAsia" w:ascii="仿宋_GB2312" w:hAnsi="仿宋_GB2312" w:eastAsia="仿宋_GB2312" w:cs="仿宋_GB2312"/>
          <w:color w:val="auto"/>
          <w:kern w:val="0"/>
          <w:sz w:val="32"/>
          <w:szCs w:val="32"/>
          <w:highlight w:val="none"/>
          <w:lang w:val="en-US"/>
        </w:rPr>
        <w:t>分。</w:t>
      </w:r>
    </w:p>
    <w:p>
      <w:pPr>
        <w:pStyle w:val="10"/>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2.</w:t>
      </w:r>
      <w:r>
        <w:rPr>
          <w:rFonts w:hint="eastAsia" w:ascii="仿宋_GB2312" w:hAnsi="仿宋_GB2312" w:eastAsia="仿宋_GB2312" w:cs="仿宋_GB2312"/>
          <w:b/>
          <w:bCs/>
          <w:color w:val="auto"/>
          <w:sz w:val="32"/>
          <w:szCs w:val="32"/>
          <w:highlight w:val="none"/>
        </w:rPr>
        <w:t>可持续影响指标（</w:t>
      </w:r>
      <w:r>
        <w:rPr>
          <w:rFonts w:hint="eastAsia" w:ascii="仿宋_GB2312" w:hAnsi="仿宋_GB2312" w:eastAsia="仿宋_GB2312" w:cs="仿宋_GB2312"/>
          <w:b/>
          <w:bCs/>
          <w:color w:val="auto"/>
          <w:sz w:val="32"/>
          <w:szCs w:val="32"/>
          <w:highlight w:val="none"/>
          <w:lang w:val="en-US" w:eastAsia="zh-CN"/>
        </w:rPr>
        <w:t>15</w:t>
      </w:r>
      <w:r>
        <w:rPr>
          <w:rFonts w:hint="eastAsia" w:ascii="仿宋_GB2312" w:hAnsi="仿宋_GB2312" w:eastAsia="仿宋_GB2312" w:cs="仿宋_GB2312"/>
          <w:b/>
          <w:bCs/>
          <w:color w:val="auto"/>
          <w:sz w:val="32"/>
          <w:szCs w:val="32"/>
          <w:highlight w:val="none"/>
        </w:rPr>
        <w:t>分）</w:t>
      </w:r>
    </w:p>
    <w:p>
      <w:pPr>
        <w:pStyle w:val="16"/>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可持续影响指标基本达成目标，</w:t>
      </w:r>
      <w:r>
        <w:rPr>
          <w:rFonts w:hint="eastAsia" w:ascii="仿宋_GB2312" w:hAnsi="仿宋_GB2312" w:eastAsia="仿宋_GB2312" w:cs="仿宋_GB2312"/>
          <w:color w:val="auto"/>
          <w:sz w:val="32"/>
          <w:szCs w:val="32"/>
          <w:highlight w:val="none"/>
        </w:rPr>
        <w:t>依据评分标准，得</w:t>
      </w:r>
      <w:r>
        <w:rPr>
          <w:rFonts w:hint="eastAsia" w:ascii="仿宋_GB2312" w:hAnsi="仿宋_GB2312" w:eastAsia="仿宋_GB2312" w:cs="仿宋_GB2312"/>
          <w:color w:val="auto"/>
          <w:sz w:val="32"/>
          <w:szCs w:val="32"/>
          <w:highlight w:val="none"/>
          <w:lang w:val="en-US" w:eastAsia="zh-CN"/>
        </w:rPr>
        <w:t>15</w:t>
      </w:r>
      <w:r>
        <w:rPr>
          <w:rFonts w:hint="eastAsia" w:ascii="仿宋_GB2312" w:hAnsi="仿宋_GB2312" w:eastAsia="仿宋_GB2312" w:cs="仿宋_GB2312"/>
          <w:color w:val="auto"/>
          <w:sz w:val="32"/>
          <w:szCs w:val="32"/>
          <w:highlight w:val="none"/>
        </w:rPr>
        <w:t>分。</w:t>
      </w:r>
    </w:p>
    <w:p>
      <w:pPr>
        <w:pStyle w:val="10"/>
        <w:spacing w:line="360" w:lineRule="auto"/>
        <w:ind w:firstLine="643" w:firstLineChars="20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五、主要经验及做法、存在的问题及原因分析</w:t>
      </w:r>
    </w:p>
    <w:p>
      <w:pPr>
        <w:pStyle w:val="10"/>
        <w:spacing w:line="360" w:lineRule="auto"/>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lang w:val="en-US" w:eastAsia="zh-CN"/>
        </w:rPr>
        <w:t>（一）</w:t>
      </w:r>
      <w:r>
        <w:rPr>
          <w:rFonts w:hint="eastAsia" w:ascii="楷体_GB2312" w:hAnsi="楷体_GB2312" w:eastAsia="楷体_GB2312" w:cs="楷体_GB2312"/>
          <w:color w:val="auto"/>
          <w:sz w:val="32"/>
          <w:szCs w:val="32"/>
          <w:highlight w:val="none"/>
        </w:rPr>
        <w:t>主要经验及做法</w:t>
      </w:r>
    </w:p>
    <w:p>
      <w:pPr>
        <w:pStyle w:val="4"/>
        <w:ind w:firstLine="640" w:firstLineChars="200"/>
        <w:rPr>
          <w:rFonts w:hint="eastAsia" w:ascii="仿宋_GB2312" w:hAnsi="仿宋_GB2312" w:eastAsia="仿宋_GB2312" w:cs="仿宋_GB2312"/>
          <w:b w:val="0"/>
          <w:color w:val="auto"/>
          <w:sz w:val="32"/>
          <w:szCs w:val="32"/>
          <w:highlight w:val="none"/>
          <w:lang w:val="en-US" w:eastAsia="zh-CN"/>
        </w:rPr>
      </w:pPr>
      <w:r>
        <w:rPr>
          <w:rFonts w:hint="eastAsia" w:ascii="仿宋_GB2312" w:hAnsi="仿宋_GB2312" w:eastAsia="仿宋_GB2312" w:cs="仿宋_GB2312"/>
          <w:b w:val="0"/>
          <w:color w:val="auto"/>
          <w:sz w:val="32"/>
          <w:szCs w:val="32"/>
          <w:highlight w:val="none"/>
        </w:rPr>
        <w:t>1.按照厉行节约、量入为出原则</w:t>
      </w:r>
      <w:r>
        <w:rPr>
          <w:rFonts w:hint="eastAsia" w:ascii="仿宋_GB2312" w:hAnsi="仿宋_GB2312" w:eastAsia="仿宋_GB2312" w:cs="仿宋_GB2312"/>
          <w:b w:val="0"/>
          <w:color w:val="auto"/>
          <w:sz w:val="32"/>
          <w:szCs w:val="32"/>
          <w:highlight w:val="none"/>
          <w:lang w:eastAsia="zh-CN"/>
        </w:rPr>
        <w:t>。</w:t>
      </w:r>
    </w:p>
    <w:p>
      <w:pPr>
        <w:pStyle w:val="4"/>
        <w:ind w:firstLine="640" w:firstLineChars="200"/>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b w:val="0"/>
          <w:color w:val="auto"/>
          <w:sz w:val="32"/>
          <w:szCs w:val="32"/>
          <w:highlight w:val="none"/>
        </w:rPr>
        <w:t>认真做好部门收支预算编制工作，做到收支平衡、不留缺口，做到保证重点、统筹兼顾，有效压缩和降低行政成本，合理安排经费，进一步提高预算编制的科学化、精细化水平。</w:t>
      </w:r>
    </w:p>
    <w:p>
      <w:pPr>
        <w:pStyle w:val="4"/>
        <w:ind w:firstLine="640" w:firstLineChars="200"/>
        <w:rPr>
          <w:rFonts w:hint="eastAsia" w:ascii="仿宋_GB2312" w:hAnsi="仿宋_GB2312" w:eastAsia="仿宋_GB2312" w:cs="仿宋_GB2312"/>
          <w:b w:val="0"/>
          <w:color w:val="auto"/>
          <w:sz w:val="32"/>
          <w:szCs w:val="32"/>
          <w:highlight w:val="none"/>
          <w:lang w:eastAsia="zh-CN"/>
        </w:rPr>
      </w:pPr>
      <w:r>
        <w:rPr>
          <w:rFonts w:hint="eastAsia" w:ascii="仿宋_GB2312" w:hAnsi="仿宋_GB2312" w:eastAsia="仿宋_GB2312" w:cs="仿宋_GB2312"/>
          <w:b w:val="0"/>
          <w:color w:val="auto"/>
          <w:sz w:val="32"/>
          <w:szCs w:val="32"/>
          <w:highlight w:val="none"/>
        </w:rPr>
        <w:t>2.监督关卡前移，充分发挥财务监督职能</w:t>
      </w:r>
      <w:r>
        <w:rPr>
          <w:rFonts w:hint="eastAsia" w:ascii="仿宋_GB2312" w:hAnsi="仿宋_GB2312" w:eastAsia="仿宋_GB2312" w:cs="仿宋_GB2312"/>
          <w:b w:val="0"/>
          <w:color w:val="auto"/>
          <w:sz w:val="32"/>
          <w:szCs w:val="32"/>
          <w:highlight w:val="none"/>
          <w:lang w:eastAsia="zh-CN"/>
        </w:rPr>
        <w:t>。</w:t>
      </w:r>
    </w:p>
    <w:p>
      <w:pPr>
        <w:pStyle w:val="4"/>
        <w:ind w:firstLine="640" w:firstLineChars="200"/>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b w:val="0"/>
          <w:color w:val="auto"/>
          <w:sz w:val="32"/>
          <w:szCs w:val="32"/>
          <w:highlight w:val="none"/>
        </w:rPr>
        <w:t>严格把关，进一步明确财务制度，做到经济业务合规性和合法性，按照财经法规和财务制度报账，全面审核各类原始凭证，保证其真实性、合法性与完整性，避免盲目性和无 计划性使用公用经费。不断规范经济业务行为，完善财务审 批手续，规范财务报销程序，促进对财务活动重要环节的控制和管理，逐步推进财务管理规范化。</w:t>
      </w:r>
    </w:p>
    <w:p>
      <w:pPr>
        <w:pStyle w:val="10"/>
        <w:spacing w:line="360" w:lineRule="auto"/>
        <w:ind w:firstLine="640" w:firstLineChars="200"/>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（二）存在的问题及原因分析</w:t>
      </w:r>
    </w:p>
    <w:p>
      <w:pPr>
        <w:pStyle w:val="4"/>
        <w:ind w:firstLine="640" w:firstLineChars="200"/>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b w:val="0"/>
          <w:color w:val="auto"/>
          <w:sz w:val="32"/>
          <w:szCs w:val="32"/>
          <w:highlight w:val="none"/>
        </w:rPr>
        <w:t>受单位业务人员专业能力所限，需进一步加强绩效评价能力建设，充分发挥绩效评价以评促管效能，切实提高绩效意识和财政资金使用效益。</w:t>
      </w:r>
    </w:p>
    <w:p>
      <w:pPr>
        <w:pStyle w:val="10"/>
        <w:spacing w:line="360" w:lineRule="auto"/>
        <w:ind w:firstLine="643" w:firstLineChars="20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六、有关建议</w:t>
      </w:r>
    </w:p>
    <w:p>
      <w:pPr>
        <w:spacing w:line="360" w:lineRule="auto"/>
        <w:ind w:firstLine="640" w:firstLineChars="20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强化项目资金管理，提高资金使用率。加强项目资金日常监督管理，从项目申报、事中监管、事后评价着手，完善项目资金全项目、全资金、全流程的全面监督和管理。</w:t>
      </w:r>
    </w:p>
    <w:p>
      <w:pPr>
        <w:spacing w:line="360" w:lineRule="auto"/>
        <w:ind w:firstLine="640" w:firstLineChars="20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七、其他需要说明的问题</w:t>
      </w:r>
    </w:p>
    <w:p>
      <w:pPr>
        <w:spacing w:line="360" w:lineRule="auto"/>
        <w:ind w:firstLine="640" w:firstLineChars="200"/>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无</w:t>
      </w:r>
    </w:p>
    <w:p>
      <w:pPr>
        <w:pStyle w:val="12"/>
        <w:spacing w:line="360" w:lineRule="auto"/>
        <w:ind w:firstLine="640"/>
        <w:rPr>
          <w:rFonts w:hint="eastAsia" w:ascii="仿宋_GB2312" w:hAnsi="仿宋_GB2312" w:eastAsia="仿宋_GB2312" w:cs="仿宋_GB2312"/>
          <w:color w:val="auto"/>
          <w:sz w:val="32"/>
          <w:szCs w:val="32"/>
          <w:highlight w:val="none"/>
        </w:rPr>
      </w:pPr>
    </w:p>
    <w:sectPr>
      <w:headerReference r:id="rId3" w:type="default"/>
      <w:footerReference r:id="rId4" w:type="default"/>
      <w:pgSz w:w="11906" w:h="16838"/>
      <w:pgMar w:top="1418" w:right="1418" w:bottom="1418"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rPr>
        <w:rFonts w:hint="eastAsia" w:eastAsia="宋体"/>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spacing w:line="20"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C44B78"/>
    <w:multiLevelType w:val="singleLevel"/>
    <w:tmpl w:val="98C44B78"/>
    <w:lvl w:ilvl="0" w:tentative="0">
      <w:start w:val="3"/>
      <w:numFmt w:val="decimal"/>
      <w:lvlText w:val="%1."/>
      <w:lvlJc w:val="left"/>
      <w:pPr>
        <w:tabs>
          <w:tab w:val="left" w:pos="312"/>
        </w:tabs>
      </w:pPr>
    </w:lvl>
  </w:abstractNum>
  <w:abstractNum w:abstractNumId="1">
    <w:nsid w:val="4967B8DD"/>
    <w:multiLevelType w:val="singleLevel"/>
    <w:tmpl w:val="4967B8DD"/>
    <w:lvl w:ilvl="0" w:tentative="0">
      <w:start w:val="2"/>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iZTYxMWExODJiNTI0NjVmMmQ3YTNkMDVjOGE4YzQifQ=="/>
  </w:docVars>
  <w:rsids>
    <w:rsidRoot w:val="00C05BA1"/>
    <w:rsid w:val="00184C5E"/>
    <w:rsid w:val="00326B15"/>
    <w:rsid w:val="0046087A"/>
    <w:rsid w:val="00C05BA1"/>
    <w:rsid w:val="018F2A41"/>
    <w:rsid w:val="023A2E4D"/>
    <w:rsid w:val="02A93B2F"/>
    <w:rsid w:val="02DC57FB"/>
    <w:rsid w:val="03004097"/>
    <w:rsid w:val="03483348"/>
    <w:rsid w:val="03597303"/>
    <w:rsid w:val="03EC0177"/>
    <w:rsid w:val="03FA2317"/>
    <w:rsid w:val="040E769E"/>
    <w:rsid w:val="0414147C"/>
    <w:rsid w:val="043F299D"/>
    <w:rsid w:val="044E2BE0"/>
    <w:rsid w:val="04D07A99"/>
    <w:rsid w:val="04E951E7"/>
    <w:rsid w:val="05137986"/>
    <w:rsid w:val="05D13C9E"/>
    <w:rsid w:val="05EF03F3"/>
    <w:rsid w:val="05F5633C"/>
    <w:rsid w:val="065344DE"/>
    <w:rsid w:val="0658150A"/>
    <w:rsid w:val="07EC2E20"/>
    <w:rsid w:val="08585DDB"/>
    <w:rsid w:val="086C5D2B"/>
    <w:rsid w:val="0902043D"/>
    <w:rsid w:val="099A0675"/>
    <w:rsid w:val="0A125A7C"/>
    <w:rsid w:val="0A5470C9"/>
    <w:rsid w:val="0A7965AE"/>
    <w:rsid w:val="0B52745A"/>
    <w:rsid w:val="0B9C6927"/>
    <w:rsid w:val="0C4641CD"/>
    <w:rsid w:val="0D2E35AF"/>
    <w:rsid w:val="0D511890"/>
    <w:rsid w:val="0D8E229F"/>
    <w:rsid w:val="0DC573BC"/>
    <w:rsid w:val="0DEB1C5C"/>
    <w:rsid w:val="0E0B7D94"/>
    <w:rsid w:val="0E25520E"/>
    <w:rsid w:val="0E286250"/>
    <w:rsid w:val="0E8A6967"/>
    <w:rsid w:val="0EA93835"/>
    <w:rsid w:val="0F9446CB"/>
    <w:rsid w:val="0F9A7933"/>
    <w:rsid w:val="10B61C33"/>
    <w:rsid w:val="11160D04"/>
    <w:rsid w:val="117B6FDE"/>
    <w:rsid w:val="11AB1672"/>
    <w:rsid w:val="12443874"/>
    <w:rsid w:val="12445F5B"/>
    <w:rsid w:val="13266183"/>
    <w:rsid w:val="13A72EEF"/>
    <w:rsid w:val="144B2C98"/>
    <w:rsid w:val="15131422"/>
    <w:rsid w:val="16F5338F"/>
    <w:rsid w:val="173C1F7C"/>
    <w:rsid w:val="175A0C63"/>
    <w:rsid w:val="175D0DC0"/>
    <w:rsid w:val="19D83AF9"/>
    <w:rsid w:val="1A4D082F"/>
    <w:rsid w:val="1A606D71"/>
    <w:rsid w:val="1A644AB4"/>
    <w:rsid w:val="1AD250C0"/>
    <w:rsid w:val="1B157B5C"/>
    <w:rsid w:val="1BEA548C"/>
    <w:rsid w:val="1D483EB2"/>
    <w:rsid w:val="1D5030CD"/>
    <w:rsid w:val="1D7B1D63"/>
    <w:rsid w:val="1DE41553"/>
    <w:rsid w:val="1DF60118"/>
    <w:rsid w:val="1E0068A1"/>
    <w:rsid w:val="1E39096C"/>
    <w:rsid w:val="1E6F1C79"/>
    <w:rsid w:val="1EDA17E8"/>
    <w:rsid w:val="1F426157"/>
    <w:rsid w:val="1F8B688A"/>
    <w:rsid w:val="208A4B48"/>
    <w:rsid w:val="21B75E11"/>
    <w:rsid w:val="21C916A0"/>
    <w:rsid w:val="22025A4F"/>
    <w:rsid w:val="225C4425"/>
    <w:rsid w:val="22703BBB"/>
    <w:rsid w:val="22F34C27"/>
    <w:rsid w:val="236478D2"/>
    <w:rsid w:val="239E0527"/>
    <w:rsid w:val="23CF0B19"/>
    <w:rsid w:val="24033901"/>
    <w:rsid w:val="242B4894"/>
    <w:rsid w:val="244C69C1"/>
    <w:rsid w:val="24B86128"/>
    <w:rsid w:val="24C52D2F"/>
    <w:rsid w:val="25341526"/>
    <w:rsid w:val="259F7550"/>
    <w:rsid w:val="25D16D75"/>
    <w:rsid w:val="260F621B"/>
    <w:rsid w:val="265F25D3"/>
    <w:rsid w:val="26751DF6"/>
    <w:rsid w:val="26B40B71"/>
    <w:rsid w:val="281A2C55"/>
    <w:rsid w:val="29B65CF7"/>
    <w:rsid w:val="29EE7EF6"/>
    <w:rsid w:val="2ABD1FE8"/>
    <w:rsid w:val="2AC35764"/>
    <w:rsid w:val="2AC800C8"/>
    <w:rsid w:val="2ADB2B70"/>
    <w:rsid w:val="2AEB3B6B"/>
    <w:rsid w:val="2AEC4CF5"/>
    <w:rsid w:val="2B004385"/>
    <w:rsid w:val="2B2F4C6A"/>
    <w:rsid w:val="2B5F596E"/>
    <w:rsid w:val="2BB807BB"/>
    <w:rsid w:val="2BBF484B"/>
    <w:rsid w:val="2C9A25B7"/>
    <w:rsid w:val="2CAD7CF6"/>
    <w:rsid w:val="2CC500C4"/>
    <w:rsid w:val="2CE13D42"/>
    <w:rsid w:val="2DAA4A7C"/>
    <w:rsid w:val="2DB651CE"/>
    <w:rsid w:val="2E187C37"/>
    <w:rsid w:val="2E3837C9"/>
    <w:rsid w:val="2E9F2F97"/>
    <w:rsid w:val="2F3E7229"/>
    <w:rsid w:val="300E30A0"/>
    <w:rsid w:val="3025488D"/>
    <w:rsid w:val="308B0B94"/>
    <w:rsid w:val="30C27F86"/>
    <w:rsid w:val="30F717EE"/>
    <w:rsid w:val="31466869"/>
    <w:rsid w:val="314B1BB3"/>
    <w:rsid w:val="32A94EBB"/>
    <w:rsid w:val="32F472C6"/>
    <w:rsid w:val="333675CB"/>
    <w:rsid w:val="33813B85"/>
    <w:rsid w:val="34956489"/>
    <w:rsid w:val="34CE54F3"/>
    <w:rsid w:val="35273E93"/>
    <w:rsid w:val="352A3E47"/>
    <w:rsid w:val="355D42C5"/>
    <w:rsid w:val="35610116"/>
    <w:rsid w:val="3586192A"/>
    <w:rsid w:val="35EA13E5"/>
    <w:rsid w:val="360C0B3D"/>
    <w:rsid w:val="368A369C"/>
    <w:rsid w:val="36B67D27"/>
    <w:rsid w:val="373D3AB5"/>
    <w:rsid w:val="37DC1CD5"/>
    <w:rsid w:val="39030CF9"/>
    <w:rsid w:val="393A4F06"/>
    <w:rsid w:val="39873EC3"/>
    <w:rsid w:val="399137B5"/>
    <w:rsid w:val="39970D4E"/>
    <w:rsid w:val="3A137505"/>
    <w:rsid w:val="3A6C5593"/>
    <w:rsid w:val="3ACE7FFB"/>
    <w:rsid w:val="3B44206B"/>
    <w:rsid w:val="3B6472F4"/>
    <w:rsid w:val="3B820DE6"/>
    <w:rsid w:val="3BBD4BA0"/>
    <w:rsid w:val="3D346110"/>
    <w:rsid w:val="3D4D1A1C"/>
    <w:rsid w:val="3D96660D"/>
    <w:rsid w:val="3E3207F4"/>
    <w:rsid w:val="3E9C5D1B"/>
    <w:rsid w:val="3EDF3E59"/>
    <w:rsid w:val="3F236EEC"/>
    <w:rsid w:val="3F583BD9"/>
    <w:rsid w:val="3F724CCD"/>
    <w:rsid w:val="3FD506BF"/>
    <w:rsid w:val="40556AC9"/>
    <w:rsid w:val="40827192"/>
    <w:rsid w:val="409A272E"/>
    <w:rsid w:val="40EB11DB"/>
    <w:rsid w:val="40F40090"/>
    <w:rsid w:val="413726AF"/>
    <w:rsid w:val="41626179"/>
    <w:rsid w:val="41801923"/>
    <w:rsid w:val="42064F0C"/>
    <w:rsid w:val="428C60A6"/>
    <w:rsid w:val="43571C4A"/>
    <w:rsid w:val="43BE6733"/>
    <w:rsid w:val="44A75419"/>
    <w:rsid w:val="451F2D58"/>
    <w:rsid w:val="45435F4B"/>
    <w:rsid w:val="455B1991"/>
    <w:rsid w:val="45965BB9"/>
    <w:rsid w:val="45D73ADC"/>
    <w:rsid w:val="460078DF"/>
    <w:rsid w:val="462E5DF2"/>
    <w:rsid w:val="46E75FA1"/>
    <w:rsid w:val="473D3E13"/>
    <w:rsid w:val="474358CD"/>
    <w:rsid w:val="47FB1024"/>
    <w:rsid w:val="4800556C"/>
    <w:rsid w:val="487D6BBD"/>
    <w:rsid w:val="490177EE"/>
    <w:rsid w:val="4AA04DE4"/>
    <w:rsid w:val="4B043919"/>
    <w:rsid w:val="4B2B2900"/>
    <w:rsid w:val="4B594A85"/>
    <w:rsid w:val="4BB9615E"/>
    <w:rsid w:val="4CA20751"/>
    <w:rsid w:val="4CEB427D"/>
    <w:rsid w:val="4CFA2A94"/>
    <w:rsid w:val="4D151ABA"/>
    <w:rsid w:val="4D2A6BE7"/>
    <w:rsid w:val="4D532C45"/>
    <w:rsid w:val="4DB2730D"/>
    <w:rsid w:val="4DBF1A26"/>
    <w:rsid w:val="4E290021"/>
    <w:rsid w:val="4E3A43C4"/>
    <w:rsid w:val="4E8C7B5A"/>
    <w:rsid w:val="4EEC4CDB"/>
    <w:rsid w:val="4F4F0B87"/>
    <w:rsid w:val="4F5543EF"/>
    <w:rsid w:val="4F7725B8"/>
    <w:rsid w:val="4F947DF8"/>
    <w:rsid w:val="4FA63B31"/>
    <w:rsid w:val="4FE15C83"/>
    <w:rsid w:val="50100316"/>
    <w:rsid w:val="502B148B"/>
    <w:rsid w:val="505F5AEB"/>
    <w:rsid w:val="507F63E0"/>
    <w:rsid w:val="50AF7B2F"/>
    <w:rsid w:val="51257DF2"/>
    <w:rsid w:val="51E7154B"/>
    <w:rsid w:val="526B217C"/>
    <w:rsid w:val="52800586"/>
    <w:rsid w:val="52EC2B8F"/>
    <w:rsid w:val="52FC500C"/>
    <w:rsid w:val="536335DE"/>
    <w:rsid w:val="537B019D"/>
    <w:rsid w:val="539574B0"/>
    <w:rsid w:val="545033D7"/>
    <w:rsid w:val="54DF6268"/>
    <w:rsid w:val="55061CE8"/>
    <w:rsid w:val="55D06744"/>
    <w:rsid w:val="56A30136"/>
    <w:rsid w:val="56FF2E93"/>
    <w:rsid w:val="57BB319C"/>
    <w:rsid w:val="57D936E4"/>
    <w:rsid w:val="57F55AE4"/>
    <w:rsid w:val="57F612F5"/>
    <w:rsid w:val="58676BBF"/>
    <w:rsid w:val="58E42340"/>
    <w:rsid w:val="58E97957"/>
    <w:rsid w:val="58FC1D80"/>
    <w:rsid w:val="5A082425"/>
    <w:rsid w:val="5A1D167E"/>
    <w:rsid w:val="5A5448AB"/>
    <w:rsid w:val="5AAB5A01"/>
    <w:rsid w:val="5ACF0CB4"/>
    <w:rsid w:val="5B1E422F"/>
    <w:rsid w:val="5B711492"/>
    <w:rsid w:val="5B9E0ECC"/>
    <w:rsid w:val="5D107BA8"/>
    <w:rsid w:val="5D292A17"/>
    <w:rsid w:val="5D8A795A"/>
    <w:rsid w:val="5E1B6804"/>
    <w:rsid w:val="5F9105FD"/>
    <w:rsid w:val="5FE4097E"/>
    <w:rsid w:val="604458CE"/>
    <w:rsid w:val="604C539B"/>
    <w:rsid w:val="60C07B37"/>
    <w:rsid w:val="60FD6695"/>
    <w:rsid w:val="618446C0"/>
    <w:rsid w:val="618F1891"/>
    <w:rsid w:val="619D5782"/>
    <w:rsid w:val="61DE0274"/>
    <w:rsid w:val="623C07FC"/>
    <w:rsid w:val="62A52B40"/>
    <w:rsid w:val="62CE1873"/>
    <w:rsid w:val="646507D9"/>
    <w:rsid w:val="64CD45D0"/>
    <w:rsid w:val="64EC1BB0"/>
    <w:rsid w:val="6503698F"/>
    <w:rsid w:val="650E7457"/>
    <w:rsid w:val="656767D3"/>
    <w:rsid w:val="65BD4645"/>
    <w:rsid w:val="66417024"/>
    <w:rsid w:val="668D5992"/>
    <w:rsid w:val="6780592A"/>
    <w:rsid w:val="67BB4BB4"/>
    <w:rsid w:val="67FA1B80"/>
    <w:rsid w:val="68D92CCD"/>
    <w:rsid w:val="69E93C5A"/>
    <w:rsid w:val="6A4A3D45"/>
    <w:rsid w:val="6A746532"/>
    <w:rsid w:val="6A890F99"/>
    <w:rsid w:val="6B7D19DD"/>
    <w:rsid w:val="6B9709F9"/>
    <w:rsid w:val="6BAC3191"/>
    <w:rsid w:val="6BB81B36"/>
    <w:rsid w:val="6C975BF0"/>
    <w:rsid w:val="6D45389E"/>
    <w:rsid w:val="6D951507"/>
    <w:rsid w:val="6DC45080"/>
    <w:rsid w:val="6EF966EE"/>
    <w:rsid w:val="6F3846FB"/>
    <w:rsid w:val="702C6A17"/>
    <w:rsid w:val="70C04A83"/>
    <w:rsid w:val="70ED4030"/>
    <w:rsid w:val="70FA674D"/>
    <w:rsid w:val="71122145"/>
    <w:rsid w:val="71A1306D"/>
    <w:rsid w:val="71D15700"/>
    <w:rsid w:val="724A3704"/>
    <w:rsid w:val="725E4ABA"/>
    <w:rsid w:val="72D0364E"/>
    <w:rsid w:val="730B69EF"/>
    <w:rsid w:val="733F48EB"/>
    <w:rsid w:val="739500E1"/>
    <w:rsid w:val="73DC65DE"/>
    <w:rsid w:val="73F76F74"/>
    <w:rsid w:val="747F58E7"/>
    <w:rsid w:val="753D5927"/>
    <w:rsid w:val="75A03DE4"/>
    <w:rsid w:val="76193605"/>
    <w:rsid w:val="76E25746"/>
    <w:rsid w:val="76FC0093"/>
    <w:rsid w:val="77043E82"/>
    <w:rsid w:val="77367A6F"/>
    <w:rsid w:val="77B92EBE"/>
    <w:rsid w:val="77CE07D5"/>
    <w:rsid w:val="77EA247B"/>
    <w:rsid w:val="794A77AE"/>
    <w:rsid w:val="7961530E"/>
    <w:rsid w:val="79627149"/>
    <w:rsid w:val="79C37EE4"/>
    <w:rsid w:val="7A607BC4"/>
    <w:rsid w:val="7A9C2623"/>
    <w:rsid w:val="7AE62031"/>
    <w:rsid w:val="7B43191D"/>
    <w:rsid w:val="7B711D02"/>
    <w:rsid w:val="7B7C7AD5"/>
    <w:rsid w:val="7B902188"/>
    <w:rsid w:val="7CE24C65"/>
    <w:rsid w:val="7D092A55"/>
    <w:rsid w:val="7D19020A"/>
    <w:rsid w:val="7D7B49FF"/>
    <w:rsid w:val="7DBF0B02"/>
    <w:rsid w:val="7DD06266"/>
    <w:rsid w:val="7E322306"/>
    <w:rsid w:val="7E857014"/>
    <w:rsid w:val="7E8F0008"/>
    <w:rsid w:val="7EA86028"/>
    <w:rsid w:val="7EAB3DC4"/>
    <w:rsid w:val="7EC14D4E"/>
    <w:rsid w:val="7F2A46A1"/>
    <w:rsid w:val="7FA610A8"/>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lang w:val="en-US" w:eastAsia="zh-CN" w:bidi="ar-SA"/>
    </w:rPr>
  </w:style>
  <w:style w:type="paragraph" w:styleId="2">
    <w:name w:val="heading 3"/>
    <w:basedOn w:val="1"/>
    <w:next w:val="1"/>
    <w:autoRedefine/>
    <w:qFormat/>
    <w:uiPriority w:val="0"/>
    <w:pPr>
      <w:keepNext/>
      <w:keepLines/>
      <w:spacing w:before="260" w:after="260" w:line="413" w:lineRule="auto"/>
      <w:outlineLvl w:val="2"/>
    </w:pPr>
    <w:rPr>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3">
    <w:name w:val="caption"/>
    <w:basedOn w:val="1"/>
    <w:next w:val="1"/>
    <w:autoRedefine/>
    <w:qFormat/>
    <w:uiPriority w:val="0"/>
    <w:rPr>
      <w:rFonts w:ascii="Arial" w:hAnsi="Arial" w:eastAsia="黑体"/>
      <w:sz w:val="20"/>
    </w:rPr>
  </w:style>
  <w:style w:type="paragraph" w:styleId="4">
    <w:name w:val="Body Text"/>
    <w:basedOn w:val="1"/>
    <w:autoRedefine/>
    <w:qFormat/>
    <w:uiPriority w:val="0"/>
    <w:rPr>
      <w:b/>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7">
    <w:name w:val="Body Text First Indent"/>
    <w:basedOn w:val="4"/>
    <w:next w:val="1"/>
    <w:autoRedefine/>
    <w:unhideWhenUsed/>
    <w:qFormat/>
    <w:uiPriority w:val="0"/>
    <w:pPr>
      <w:spacing w:line="560" w:lineRule="exact"/>
      <w:ind w:firstLine="420" w:firstLineChars="100"/>
    </w:pPr>
    <w:rPr>
      <w:rFonts w:ascii="Times New Roman" w:hAnsi="Times New Roman" w:eastAsia="仿宋_GB2312" w:cs="Times New Roman"/>
      <w:sz w:val="32"/>
      <w:szCs w:val="24"/>
    </w:rPr>
  </w:style>
  <w:style w:type="paragraph" w:customStyle="1" w:styleId="10">
    <w:name w:val="纯文本1"/>
    <w:basedOn w:val="1"/>
    <w:autoRedefine/>
    <w:qFormat/>
    <w:uiPriority w:val="0"/>
    <w:rPr>
      <w:rFonts w:ascii="宋体" w:hAnsi="Courier New" w:cs="Courier New"/>
      <w:szCs w:val="21"/>
    </w:rPr>
  </w:style>
  <w:style w:type="paragraph" w:customStyle="1" w:styleId="11">
    <w:name w:val="普通(网站)1"/>
    <w:basedOn w:val="1"/>
    <w:autoRedefine/>
    <w:qFormat/>
    <w:uiPriority w:val="0"/>
    <w:pPr>
      <w:spacing w:beforeAutospacing="1" w:afterAutospacing="1"/>
      <w:jc w:val="left"/>
    </w:pPr>
    <w:rPr>
      <w:kern w:val="0"/>
      <w:sz w:val="24"/>
    </w:rPr>
  </w:style>
  <w:style w:type="paragraph" w:customStyle="1" w:styleId="12">
    <w:name w:val="正文首行缩进 21"/>
    <w:basedOn w:val="1"/>
    <w:autoRedefine/>
    <w:qFormat/>
    <w:uiPriority w:val="0"/>
    <w:pPr>
      <w:ind w:left="420" w:leftChars="200" w:firstLine="420" w:firstLineChars="200"/>
    </w:pPr>
    <w:rPr>
      <w:rFonts w:ascii="Times New Roman" w:hAnsi="Times New Roman" w:eastAsia="仿宋_GB2312"/>
      <w:sz w:val="30"/>
      <w:szCs w:val="30"/>
    </w:rPr>
  </w:style>
  <w:style w:type="paragraph" w:customStyle="1" w:styleId="13">
    <w:name w:val="Body Text First Indent 21"/>
    <w:autoRedefine/>
    <w:qFormat/>
    <w:uiPriority w:val="0"/>
    <w:pPr>
      <w:widowControl w:val="0"/>
      <w:ind w:left="420" w:firstLine="210"/>
      <w:jc w:val="both"/>
    </w:pPr>
    <w:rPr>
      <w:rFonts w:ascii="Calibri" w:hAnsi="Calibri" w:eastAsia="Times New Roman" w:cs="Calibri"/>
      <w:color w:val="000000"/>
      <w:kern w:val="2"/>
      <w:sz w:val="21"/>
      <w:szCs w:val="21"/>
      <w:lang w:val="en-US" w:eastAsia="zh-CN" w:bidi="ar-SA"/>
    </w:rPr>
  </w:style>
  <w:style w:type="paragraph" w:customStyle="1" w:styleId="14">
    <w:name w:val="列出段落1"/>
    <w:basedOn w:val="1"/>
    <w:autoRedefine/>
    <w:qFormat/>
    <w:uiPriority w:val="0"/>
    <w:pPr>
      <w:ind w:firstLine="420" w:firstLineChars="200"/>
    </w:pPr>
  </w:style>
  <w:style w:type="paragraph" w:customStyle="1" w:styleId="15">
    <w:name w:val="无间隔1"/>
    <w:autoRedefine/>
    <w:qFormat/>
    <w:uiPriority w:val="0"/>
    <w:pPr>
      <w:adjustRightInd w:val="0"/>
      <w:snapToGrid w:val="0"/>
    </w:pPr>
    <w:rPr>
      <w:rFonts w:ascii="Tahoma" w:hAnsi="Tahoma" w:eastAsia="微软雅黑" w:cs="Times New Roman"/>
      <w:sz w:val="22"/>
      <w:szCs w:val="22"/>
      <w:lang w:val="en-US" w:eastAsia="zh-CN" w:bidi="ar-SA"/>
    </w:rPr>
  </w:style>
  <w:style w:type="paragraph" w:customStyle="1" w:styleId="16">
    <w:name w:val="纯文本11"/>
    <w:basedOn w:val="1"/>
    <w:autoRedefine/>
    <w:qFormat/>
    <w:uiPriority w:val="0"/>
    <w:rPr>
      <w:rFonts w:hAnsi="Courier New" w:cs="Courier New"/>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3660</Words>
  <Characters>3874</Characters>
  <Lines>37</Lines>
  <Paragraphs>10</Paragraphs>
  <TotalTime>11</TotalTime>
  <ScaleCrop>false</ScaleCrop>
  <LinksUpToDate>false</LinksUpToDate>
  <CharactersWithSpaces>3896</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2021-03-25T19:27:00Z</dcterms:created>
  <dc:creator>Aallot</dc:creator>
  <cp:lastModifiedBy>徐斯佳</cp:lastModifiedBy>
  <cp:lastPrinted>2024-05-09T07:06:00Z</cp:lastPrinted>
  <dcterms:modified xsi:type="dcterms:W3CDTF">2026-04-30T08:36:38Z</dcterms:modified>
  <dc:title>admin</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49C87474FC044E06853F166999182CA1_13</vt:lpwstr>
  </property>
  <property fmtid="{D5CDD505-2E9C-101B-9397-08002B2CF9AE}" pid="4" name="KSOTemplateDocerSaveRecord">
    <vt:lpwstr>eyJoZGlkIjoiMzEwNTM5NzYwMDRjMzkwZTVkZjY2ODkwMGIxNGU0OTUiLCJ1c2VySWQiOiI0ODU4MzY1NjIifQ==</vt:lpwstr>
  </property>
</Properties>
</file>