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宋体" w:eastAsia="黑体" w:cs="Arial"/>
          <w:bCs/>
          <w:color w:val="auto"/>
          <w:sz w:val="32"/>
          <w:szCs w:val="32"/>
          <w:highlight w:val="none"/>
        </w:rPr>
      </w:pPr>
      <w:r>
        <w:drawing>
          <wp:anchor distT="0" distB="0" distL="0" distR="0" simplePos="0" relativeHeight="251659264" behindDoc="0" locked="0" layoutInCell="1" allowOverlap="1">
            <wp:simplePos x="0" y="0"/>
            <wp:positionH relativeFrom="column">
              <wp:posOffset>4358640</wp:posOffset>
            </wp:positionH>
            <wp:positionV relativeFrom="paragraph">
              <wp:posOffset>292100</wp:posOffset>
            </wp:positionV>
            <wp:extent cx="1581150" cy="1574800"/>
            <wp:effectExtent l="0" t="0" r="6350" b="0"/>
            <wp:wrapNone/>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6"/>
                    <a:stretch>
                      <a:fillRect/>
                    </a:stretch>
                  </pic:blipFill>
                  <pic:spPr>
                    <a:xfrm>
                      <a:off x="0" y="0"/>
                      <a:ext cx="1581150" cy="1574800"/>
                    </a:xfrm>
                    <a:prstGeom prst="rect">
                      <a:avLst/>
                    </a:prstGeom>
                  </pic:spPr>
                </pic:pic>
              </a:graphicData>
            </a:graphic>
          </wp:anchor>
        </w:drawing>
      </w:r>
    </w:p>
    <w:p>
      <w:pPr>
        <w:jc w:val="left"/>
        <w:rPr>
          <w:rFonts w:ascii="黑体" w:hAnsi="黑体" w:eastAsia="黑体" w:cs="黑体"/>
          <w:bCs/>
          <w:color w:val="auto"/>
          <w:sz w:val="24"/>
          <w:szCs w:val="24"/>
          <w:highlight w:val="none"/>
        </w:rPr>
      </w:pP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lang w:eastAsia="zh-CN"/>
        </w:rPr>
      </w:pPr>
      <w:r>
        <w:rPr>
          <w:rFonts w:hint="eastAsia" w:asciiTheme="majorEastAsia" w:hAnsiTheme="majorEastAsia" w:eastAsiaTheme="majorEastAsia" w:cstheme="majorEastAsia"/>
          <w:b/>
          <w:bCs/>
          <w:color w:val="auto"/>
          <w:sz w:val="44"/>
          <w:szCs w:val="44"/>
          <w:highlight w:val="none"/>
        </w:rPr>
        <w:t xml:space="preserve"> </w:t>
      </w:r>
      <w:r>
        <w:rPr>
          <w:rFonts w:hint="eastAsia" w:asciiTheme="majorEastAsia" w:hAnsiTheme="majorEastAsia" w:eastAsiaTheme="majorEastAsia" w:cstheme="majorEastAsia"/>
          <w:b/>
          <w:bCs/>
          <w:color w:val="auto"/>
          <w:sz w:val="44"/>
          <w:szCs w:val="44"/>
          <w:highlight w:val="none"/>
          <w:lang w:eastAsia="zh-CN"/>
        </w:rPr>
        <w:t>南昌市东湖区人民政府董家窑街道办事处</w:t>
      </w:r>
    </w:p>
    <w:p>
      <w:pPr>
        <w:keepNext w:val="0"/>
        <w:keepLines w:val="0"/>
        <w:pageBreakBefore w:val="0"/>
        <w:kinsoku/>
        <w:wordWrap/>
        <w:overflowPunct/>
        <w:topLinePunct w:val="0"/>
        <w:autoSpaceDE/>
        <w:autoSpaceDN/>
        <w:bidi w:val="0"/>
        <w:adjustRightInd/>
        <w:spacing w:line="560" w:lineRule="exact"/>
        <w:jc w:val="center"/>
        <w:textAlignment w:val="auto"/>
        <w:rPr>
          <w:rFonts w:hint="eastAsia" w:asciiTheme="majorEastAsia" w:hAnsiTheme="majorEastAsia" w:eastAsiaTheme="majorEastAsia" w:cstheme="majorEastAsia"/>
          <w:b/>
          <w:bCs/>
          <w:color w:val="auto"/>
          <w:sz w:val="44"/>
          <w:szCs w:val="44"/>
          <w:highlight w:val="none"/>
        </w:rPr>
      </w:pPr>
      <w:r>
        <w:rPr>
          <w:rFonts w:hint="eastAsia" w:asciiTheme="majorEastAsia" w:hAnsiTheme="majorEastAsia" w:eastAsiaTheme="majorEastAsia" w:cstheme="majorEastAsia"/>
          <w:b/>
          <w:bCs/>
          <w:color w:val="auto"/>
          <w:sz w:val="44"/>
          <w:szCs w:val="44"/>
          <w:highlight w:val="none"/>
        </w:rPr>
        <w:t>202</w:t>
      </w:r>
      <w:r>
        <w:rPr>
          <w:rFonts w:hint="eastAsia" w:asciiTheme="majorEastAsia" w:hAnsiTheme="majorEastAsia" w:eastAsiaTheme="majorEastAsia" w:cstheme="majorEastAsia"/>
          <w:b/>
          <w:bCs/>
          <w:color w:val="auto"/>
          <w:sz w:val="44"/>
          <w:szCs w:val="44"/>
          <w:highlight w:val="none"/>
          <w:lang w:val="en-US" w:eastAsia="zh-CN"/>
        </w:rPr>
        <w:t>5</w:t>
      </w:r>
      <w:r>
        <w:rPr>
          <w:rFonts w:hint="eastAsia" w:asciiTheme="majorEastAsia" w:hAnsiTheme="majorEastAsia" w:eastAsiaTheme="majorEastAsia" w:cstheme="majorEastAsia"/>
          <w:b/>
          <w:bCs/>
          <w:color w:val="auto"/>
          <w:sz w:val="44"/>
          <w:szCs w:val="44"/>
          <w:highlight w:val="none"/>
        </w:rPr>
        <w:t>年度部门项目支出绩效评价报告</w:t>
      </w:r>
    </w:p>
    <w:p>
      <w:pPr>
        <w:keepNext w:val="0"/>
        <w:keepLines w:val="0"/>
        <w:pageBreakBefore w:val="0"/>
        <w:kinsoku/>
        <w:wordWrap/>
        <w:overflowPunct/>
        <w:topLinePunct w:val="0"/>
        <w:autoSpaceDE/>
        <w:autoSpaceDN/>
        <w:bidi w:val="0"/>
        <w:adjustRightInd/>
        <w:spacing w:line="560" w:lineRule="exact"/>
        <w:jc w:val="center"/>
        <w:textAlignment w:val="auto"/>
        <w:rPr>
          <w:rFonts w:ascii="仿宋" w:hAnsi="仿宋" w:eastAsia="仿宋" w:cs="Arial"/>
          <w:b/>
          <w:bCs/>
          <w:color w:val="auto"/>
          <w:sz w:val="44"/>
          <w:szCs w:val="44"/>
          <w:highlight w:val="none"/>
        </w:rPr>
      </w:pP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财政支出绩效评价从深化部门预算改革，加强预算绩效管理 的实际，通过科学合理的方法，客观公正地评价财政预算资金使 用的经济性、效率性和效益性，是强化部门预算支出责任、改善 财政预算支出管理、优化资源配置以及提高公共服务水平的重要手段。</w:t>
      </w:r>
    </w:p>
    <w:p>
      <w:pPr>
        <w:pStyle w:val="4"/>
        <w:spacing w:before="260" w:line="396" w:lineRule="auto"/>
        <w:ind w:left="38" w:right="101" w:firstLine="552"/>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为进一步加强绩效管理水平，强化支持责任，提高财政资金使用效益，建立科学、合理的财政支出绩效评价管理体系，根据《南昌市财政局关于开展2025年度全市预算单位自评及部门评价工作的通知》（洪财绩〔2026〕1号）文件精神，运用科学、合理的评价方法对单位申报项目预算时明确的绩效指标完成情况进行客观、公正的评价。现将评价情况汇报如下：</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一、基本情况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（一）项目概况</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1.项目背景</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该项目用于发放无业人员独生子女父母奖励。</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2.主要内容及实施情况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（1）主要内容</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该项目用于发放无业人员独生子女父母奖励。</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（2）实施情况</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2025 年本单位积极开展实施已立项的项目，按计划完成了“无业人员独生子女父母奖励”的发放工作。</w:t>
      </w:r>
    </w:p>
    <w:p>
      <w:pPr>
        <w:keepNext w:val="0"/>
        <w:keepLines w:val="0"/>
        <w:pageBreakBefore w:val="0"/>
        <w:numPr>
          <w:ilvl w:val="0"/>
          <w:numId w:val="1"/>
        </w:numPr>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资金投入和使用情况</w:t>
      </w:r>
    </w:p>
    <w:p>
      <w:pPr>
        <w:pStyle w:val="4"/>
        <w:spacing w:before="289" w:line="411" w:lineRule="auto"/>
        <w:ind w:left="34" w:firstLine="551"/>
        <w:jc w:val="both"/>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资金投入：“无业人员独生子女父母奖励”项目资金来源区级财政拨款，年初预算安排0.2万元，2025年实际到位0.2万元。</w:t>
      </w:r>
    </w:p>
    <w:p>
      <w:pPr>
        <w:pStyle w:val="4"/>
        <w:spacing w:before="289" w:line="411" w:lineRule="auto"/>
        <w:ind w:left="34" w:firstLine="551"/>
        <w:jc w:val="both"/>
        <w:rPr>
          <w:rFonts w:hint="default"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val="0"/>
          <w:color w:val="auto"/>
          <w:kern w:val="2"/>
          <w:sz w:val="32"/>
          <w:szCs w:val="32"/>
          <w:highlight w:val="none"/>
          <w:lang w:val="en-US" w:eastAsia="zh-CN" w:bidi="ar-SA"/>
        </w:rPr>
        <w:t>资金使用：2025 年度“无业人员独生子女父母奖励”实际支出 0.2万元，预算资金执行率 100%。</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（二）项目绩效目标</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1.总体目标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通过区政府各部门下达各项专项经费，更好地完成交办的事项：1、做好经济普查统计工作，盘活辖区经济。2、加大党建基层人才培养；3、统筹好区委、区关工委等群体工作；4、巩固国家卫生城、文明城市创建工作；5、巩固提高计生优质服务水平，促进人口长期均衡发展；6、打造环境整洁、交通次序良好的环境。</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2.阶段性目标</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通过区政府各部门下达各项专项经费，更好地完成交办的事项：1、做好经济普查统计工作，盘活辖区经济。2、加大党建基层人才培养；3、统筹好区委、区关工委等群体工作；4、巩固国家卫生城、文明城市创建工作；5、巩固提高计生优质服务水平，促进人口长期均衡发展；6、打造环境整洁、交通次序良好的环境。</w:t>
      </w:r>
    </w:p>
    <w:p>
      <w:pPr>
        <w:keepNext w:val="0"/>
        <w:keepLines w:val="0"/>
        <w:pageBreakBefore w:val="0"/>
        <w:kinsoku/>
        <w:wordWrap/>
        <w:overflowPunct/>
        <w:topLinePunct w:val="0"/>
        <w:autoSpaceDE/>
        <w:autoSpaceDN/>
        <w:bidi w:val="0"/>
        <w:adjustRightInd/>
        <w:spacing w:line="560" w:lineRule="exact"/>
        <w:ind w:firstLine="643" w:firstLineChars="200"/>
        <w:textAlignment w:val="auto"/>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二、绩效评价工作开展情况</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（一）绩效评价目的、对象和范围</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次绩效评价从项目执行过程中的投入、管理制度建设、资金使用规范性、项目资金的使用和产出效果等多个方面，全面评价项目绩效状况。目的是为今后项目实施方向及管理方式改进提供指导，逐步树立以结果为导向的预算观。针对项目执行过程中存在的问题及不足，提出针对性改进意见，以促进项目单位的项目管理水平，提升政策实施效果和财政资金使用效益，为预算资金安排和完善提供参考。评价范围是</w:t>
      </w:r>
      <w:r>
        <w:rPr>
          <w:rFonts w:hint="eastAsia" w:ascii="仿宋_GB2312" w:hAnsi="仿宋_GB2312" w:eastAsia="仿宋_GB2312" w:cs="仿宋_GB2312"/>
          <w:color w:val="auto"/>
          <w:sz w:val="32"/>
          <w:szCs w:val="32"/>
          <w:highlight w:val="none"/>
          <w:lang w:eastAsia="zh-CN"/>
        </w:rPr>
        <w:t>“无业人员独生子女父母奖励”</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val="en-US" w:eastAsia="zh-CN"/>
        </w:rPr>
        <w:t>0.2万</w:t>
      </w:r>
      <w:r>
        <w:rPr>
          <w:rFonts w:hint="eastAsia" w:ascii="仿宋_GB2312" w:hAnsi="仿宋_GB2312" w:eastAsia="仿宋_GB2312" w:cs="仿宋_GB2312"/>
          <w:color w:val="auto"/>
          <w:sz w:val="32"/>
          <w:szCs w:val="32"/>
          <w:highlight w:val="none"/>
        </w:rPr>
        <w:t>元。</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（二）绩效评价原则、评价指标体系、评价方法、评价标准</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1.绩效评价原则</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w:t>
      </w:r>
      <w:r>
        <w:rPr>
          <w:rFonts w:hint="eastAsia" w:ascii="仿宋_GB2312" w:hAnsi="仿宋_GB2312" w:eastAsia="仿宋_GB2312" w:cs="仿宋_GB2312"/>
          <w:color w:val="auto"/>
          <w:sz w:val="32"/>
          <w:szCs w:val="32"/>
          <w:highlight w:val="none"/>
          <w:lang w:eastAsia="zh-CN"/>
        </w:rPr>
        <w:t>“无业人员独生子女父母奖励”</w:t>
      </w:r>
      <w:r>
        <w:rPr>
          <w:rFonts w:hint="eastAsia" w:ascii="仿宋_GB2312" w:hAnsi="仿宋_GB2312" w:eastAsia="仿宋_GB2312" w:cs="仿宋_GB2312"/>
          <w:color w:val="auto"/>
          <w:sz w:val="32"/>
          <w:szCs w:val="32"/>
          <w:highlight w:val="none"/>
        </w:rPr>
        <w:t>资金支出绩效评价将严格遵守科学规范原则、公正公开原则、分级分类原则以及绩效管理相关原则。</w:t>
      </w:r>
    </w:p>
    <w:p>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2.评价指标体系</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财政部《预算绩效评价共性指标体系框架》等文件精神，确定本次绩效评价指标的整体框架，结合项目目标以及项目实施要求、申报要求、专项资金发放效果等内容，确定本次绩效评价指标体系的个性指标，具体详见《项目支出绩效评分表》，指标数据来源于相关法规、政府文件、基础数据采集、问卷调查和访谈等。</w:t>
      </w:r>
    </w:p>
    <w:p>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评价指标体系表</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主要包括决策，过程，产出，效益四个方面，满分</w:t>
      </w:r>
      <w:r>
        <w:rPr>
          <w:rFonts w:hint="eastAsia" w:ascii="仿宋_GB2312" w:hAnsi="仿宋_GB2312" w:eastAsia="仿宋_GB2312" w:cs="仿宋_GB2312"/>
          <w:color w:val="auto"/>
          <w:sz w:val="32"/>
          <w:szCs w:val="32"/>
          <w:highlight w:val="none"/>
        </w:rPr>
        <w:t>共 100 分。分值≥90 分，评价结果为“优”; 80分≤分值&lt;90 分，评价结果为“良”；60 分≤分值&lt;80 分，评价结果为“中”；分值&lt;60 分，评价结果为“差”。</w:t>
      </w:r>
    </w:p>
    <w:tbl>
      <w:tblPr>
        <w:tblStyle w:val="8"/>
        <w:tblpPr w:leftFromText="180" w:rightFromText="180" w:vertAnchor="text" w:horzAnchor="page" w:tblpX="1517" w:tblpY="57"/>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565"/>
        <w:gridCol w:w="2126"/>
        <w:gridCol w:w="3118"/>
        <w:gridCol w:w="198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699" w:hRule="atLeast"/>
        </w:trPr>
        <w:tc>
          <w:tcPr>
            <w:tcW w:w="1565" w:type="dxa"/>
            <w:vAlign w:val="center"/>
          </w:tcPr>
          <w:p>
            <w:pPr>
              <w:autoSpaceDE/>
              <w:autoSpaceDN/>
              <w:spacing w:line="220" w:lineRule="exact"/>
              <w:ind w:right="265"/>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一级指标</w:t>
            </w:r>
          </w:p>
        </w:tc>
        <w:tc>
          <w:tcPr>
            <w:tcW w:w="2126"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二级指标</w:t>
            </w:r>
          </w:p>
        </w:tc>
        <w:tc>
          <w:tcPr>
            <w:tcW w:w="3118"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三级指标</w:t>
            </w:r>
          </w:p>
        </w:tc>
        <w:tc>
          <w:tcPr>
            <w:tcW w:w="1985" w:type="dxa"/>
            <w:vAlign w:val="center"/>
          </w:tcPr>
          <w:p>
            <w:pPr>
              <w:autoSpaceDE/>
              <w:autoSpaceDN/>
              <w:spacing w:line="220" w:lineRule="exact"/>
              <w:jc w:val="center"/>
              <w:rPr>
                <w:rFonts w:ascii="Times New Roman" w:hAnsi="Times New Roman" w:eastAsia="仿宋" w:cs="Times New Roman"/>
                <w:b/>
                <w:color w:val="auto"/>
                <w:kern w:val="2"/>
                <w:sz w:val="21"/>
                <w:szCs w:val="20"/>
                <w:highlight w:val="none"/>
                <w:lang w:eastAsia="zh-CN"/>
              </w:rPr>
            </w:pPr>
            <w:r>
              <w:rPr>
                <w:rFonts w:ascii="Times New Roman" w:hAnsi="Times New Roman" w:eastAsia="仿宋" w:cs="Times New Roman"/>
                <w:b/>
                <w:color w:val="auto"/>
                <w:kern w:val="2"/>
                <w:sz w:val="21"/>
                <w:szCs w:val="20"/>
                <w:highlight w:val="none"/>
                <w:lang w:eastAsia="zh-CN"/>
              </w:rPr>
              <w:t>得分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决策</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项目立项</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立项依据充分性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立项程序规范性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绩效目标</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6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绩效目标合理性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tcBorders>
              <w:top w:val="nil"/>
            </w:tcBorders>
            <w:vAlign w:val="center"/>
          </w:tcPr>
          <w:p>
            <w:pPr>
              <w:autoSpaceDE/>
              <w:autoSpaceDN/>
              <w:spacing w:before="104"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绩效指标明确性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资金投入</w:t>
            </w:r>
            <w:r>
              <w:rPr>
                <w:rFonts w:hint="eastAsia" w:ascii="Times New Roman" w:hAnsi="Times New Roman" w:eastAsia="仿宋" w:cs="Times New Roman"/>
                <w:color w:val="auto"/>
                <w:kern w:val="2"/>
                <w:sz w:val="21"/>
                <w:szCs w:val="20"/>
                <w:highlight w:val="none"/>
                <w:lang w:eastAsia="zh-CN"/>
              </w:rPr>
              <w:t>（5分）</w:t>
            </w:r>
          </w:p>
        </w:tc>
        <w:tc>
          <w:tcPr>
            <w:tcW w:w="3118"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预算编制科学性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65"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资金分配合理性</w:t>
            </w:r>
            <w:r>
              <w:rPr>
                <w:rFonts w:hint="eastAsia" w:ascii="仿宋" w:hAnsi="仿宋" w:eastAsia="仿宋" w:cs="Times New Roman"/>
                <w:color w:val="auto"/>
                <w:kern w:val="2"/>
                <w:sz w:val="20"/>
                <w:szCs w:val="20"/>
                <w:highlight w:val="none"/>
                <w:lang w:eastAsia="zh-CN"/>
              </w:rPr>
              <w:t>（2.5分）</w:t>
            </w:r>
          </w:p>
        </w:tc>
        <w:tc>
          <w:tcPr>
            <w:tcW w:w="1985" w:type="dxa"/>
            <w:vAlign w:val="center"/>
          </w:tcPr>
          <w:p>
            <w:pPr>
              <w:autoSpaceDE/>
              <w:autoSpaceDN/>
              <w:spacing w:before="89"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过程</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15</w:t>
            </w:r>
            <w:r>
              <w:rPr>
                <w:rFonts w:ascii="Times New Roman" w:hAnsi="Times New Roman" w:eastAsia="仿宋" w:cs="Times New Roman"/>
                <w:color w:val="auto"/>
                <w:kern w:val="2"/>
                <w:sz w:val="21"/>
                <w:szCs w:val="20"/>
                <w:highlight w:val="none"/>
                <w:lang w:eastAsia="zh-CN"/>
              </w:rPr>
              <w:t>分）</w:t>
            </w: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资金管理</w:t>
            </w:r>
            <w:r>
              <w:rPr>
                <w:rFonts w:hint="eastAsia" w:ascii="Times New Roman" w:hAnsi="Times New Roman" w:eastAsia="仿宋" w:cs="Times New Roman"/>
                <w:color w:val="auto"/>
                <w:kern w:val="2"/>
                <w:sz w:val="21"/>
                <w:szCs w:val="20"/>
                <w:highlight w:val="none"/>
                <w:lang w:eastAsia="zh-CN"/>
              </w:rPr>
              <w:t>（9分）</w:t>
            </w:r>
          </w:p>
        </w:tc>
        <w:tc>
          <w:tcPr>
            <w:tcW w:w="3118" w:type="dxa"/>
            <w:vAlign w:val="center"/>
          </w:tcPr>
          <w:p>
            <w:pPr>
              <w:autoSpaceDE/>
              <w:autoSpaceDN/>
              <w:spacing w:before="40"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资金到位率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38" w:line="220" w:lineRule="exact"/>
              <w:ind w:left="223"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预算执行率</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p>
        </w:tc>
        <w:tc>
          <w:tcPr>
            <w:tcW w:w="3118" w:type="dxa"/>
            <w:vAlign w:val="center"/>
          </w:tcPr>
          <w:p>
            <w:pPr>
              <w:autoSpaceDE/>
              <w:autoSpaceDN/>
              <w:spacing w:before="73"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资金使用合规性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restart"/>
            <w:vAlign w:val="center"/>
          </w:tcPr>
          <w:p>
            <w:pPr>
              <w:autoSpaceDE/>
              <w:autoSpaceDN/>
              <w:spacing w:before="124" w:line="220" w:lineRule="exact"/>
              <w:ind w:left="188"/>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组织实施</w:t>
            </w:r>
            <w:r>
              <w:rPr>
                <w:rFonts w:hint="eastAsia" w:ascii="Times New Roman" w:hAnsi="Times New Roman" w:eastAsia="仿宋" w:cs="Times New Roman"/>
                <w:color w:val="auto"/>
                <w:kern w:val="2"/>
                <w:sz w:val="21"/>
                <w:szCs w:val="20"/>
                <w:highlight w:val="none"/>
                <w:lang w:eastAsia="zh-CN"/>
              </w:rPr>
              <w:t>（6分）</w:t>
            </w:r>
          </w:p>
        </w:tc>
        <w:tc>
          <w:tcPr>
            <w:tcW w:w="3118" w:type="dxa"/>
            <w:vAlign w:val="center"/>
          </w:tcPr>
          <w:p>
            <w:pPr>
              <w:autoSpaceDE/>
              <w:autoSpaceDN/>
              <w:spacing w:before="96"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管理制度健全性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制度执行有效性</w:t>
            </w:r>
            <w:r>
              <w:rPr>
                <w:rFonts w:hint="eastAsia" w:ascii="仿宋" w:hAnsi="仿宋" w:eastAsia="仿宋" w:cs="Times New Roman"/>
                <w:color w:val="auto"/>
                <w:kern w:val="2"/>
                <w:sz w:val="20"/>
                <w:szCs w:val="20"/>
                <w:highlight w:val="none"/>
                <w:lang w:eastAsia="zh-CN"/>
              </w:rPr>
              <w:t>（3分）</w:t>
            </w:r>
          </w:p>
        </w:tc>
        <w:tc>
          <w:tcPr>
            <w:tcW w:w="1985" w:type="dxa"/>
            <w:vAlign w:val="center"/>
          </w:tcPr>
          <w:p>
            <w:pPr>
              <w:autoSpaceDE/>
              <w:autoSpaceDN/>
              <w:spacing w:before="89"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3"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40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产出数量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宋体" w:hAnsi="宋体" w:eastAsia="宋体" w:cs="宋体"/>
                <w:b w:val="0"/>
                <w:bCs w:val="0"/>
                <w:color w:val="auto"/>
                <w:sz w:val="24"/>
                <w:szCs w:val="24"/>
                <w:highlight w:val="none"/>
              </w:rPr>
            </w:pPr>
            <w:r>
              <w:rPr>
                <w:rFonts w:ascii="仿宋" w:hAnsi="仿宋" w:eastAsia="仿宋" w:cs="Times New Roman"/>
                <w:color w:val="auto"/>
                <w:kern w:val="2"/>
                <w:sz w:val="20"/>
                <w:szCs w:val="20"/>
                <w:highlight w:val="none"/>
                <w:lang w:eastAsia="zh-CN"/>
              </w:rPr>
              <w:br w:type="textWrapping"/>
            </w: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b w:val="0"/>
                <w:bCs w:val="0"/>
                <w:color w:val="auto"/>
                <w:kern w:val="2"/>
                <w:sz w:val="20"/>
                <w:szCs w:val="20"/>
                <w:highlight w:val="none"/>
                <w:lang w:val="en-US" w:eastAsia="zh-CN"/>
              </w:rPr>
              <w:t>10</w:t>
            </w:r>
            <w:r>
              <w:rPr>
                <w:rFonts w:hint="eastAsia" w:ascii="仿宋" w:hAnsi="仿宋" w:eastAsia="仿宋" w:cs="Times New Roman"/>
                <w:b w:val="0"/>
                <w:bCs w:val="0"/>
                <w:color w:val="auto"/>
                <w:kern w:val="2"/>
                <w:sz w:val="20"/>
                <w:szCs w:val="20"/>
                <w:highlight w:val="none"/>
                <w:lang w:eastAsia="zh-CN"/>
              </w:rPr>
              <w:t>分）</w:t>
            </w:r>
          </w:p>
          <w:p>
            <w:pPr>
              <w:autoSpaceDE/>
              <w:autoSpaceDN/>
              <w:spacing w:before="72" w:line="220" w:lineRule="exact"/>
              <w:ind w:left="225" w:right="217"/>
              <w:jc w:val="center"/>
              <w:rPr>
                <w:rFonts w:ascii="仿宋" w:hAnsi="仿宋" w:eastAsia="仿宋" w:cs="Times New Roman"/>
                <w:b/>
                <w:bCs/>
                <w:color w:val="auto"/>
                <w:kern w:val="2"/>
                <w:sz w:val="20"/>
                <w:szCs w:val="20"/>
                <w:highlight w:val="none"/>
                <w:lang w:eastAsia="zh-CN"/>
              </w:rPr>
            </w:pPr>
          </w:p>
        </w:tc>
        <w:tc>
          <w:tcPr>
            <w:tcW w:w="1985"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产出质量</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产出时效</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val="en-US" w:eastAsia="zh-CN"/>
              </w:rPr>
              <w:t>及时率（10分）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产出成本</w:t>
            </w:r>
            <w:r>
              <w:rPr>
                <w:rFonts w:hint="eastAsia" w:ascii="Times New Roman" w:hAnsi="Times New Roman" w:eastAsia="仿宋" w:cs="Times New Roman"/>
                <w:color w:val="auto"/>
                <w:kern w:val="2"/>
                <w:sz w:val="21"/>
                <w:szCs w:val="20"/>
                <w:highlight w:val="none"/>
                <w:lang w:eastAsia="zh-CN"/>
              </w:rPr>
              <w:t>（10分）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10分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1565" w:type="dxa"/>
            <w:vMerge w:val="restart"/>
            <w:vAlign w:val="center"/>
          </w:tcPr>
          <w:p>
            <w:pPr>
              <w:autoSpaceDE/>
              <w:autoSpaceDN/>
              <w:spacing w:line="220" w:lineRule="exact"/>
              <w:ind w:left="42"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效益</w:t>
            </w:r>
          </w:p>
          <w:p>
            <w:pPr>
              <w:autoSpaceDE/>
              <w:autoSpaceDN/>
              <w:spacing w:line="220" w:lineRule="exact"/>
              <w:ind w:left="44" w:right="37"/>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w:t>
            </w:r>
            <w:r>
              <w:rPr>
                <w:rFonts w:hint="eastAsia" w:ascii="Times New Roman" w:hAnsi="Times New Roman" w:eastAsia="仿宋" w:cs="Times New Roman"/>
                <w:color w:val="auto"/>
                <w:kern w:val="2"/>
                <w:sz w:val="21"/>
                <w:szCs w:val="20"/>
                <w:highlight w:val="none"/>
                <w:lang w:eastAsia="zh-CN"/>
              </w:rPr>
              <w:t>30</w:t>
            </w:r>
            <w:r>
              <w:rPr>
                <w:rFonts w:ascii="Times New Roman" w:hAnsi="Times New Roman" w:eastAsia="仿宋" w:cs="Times New Roman"/>
                <w:color w:val="auto"/>
                <w:kern w:val="2"/>
                <w:sz w:val="21"/>
                <w:szCs w:val="20"/>
                <w:highlight w:val="none"/>
                <w:lang w:eastAsia="zh-CN"/>
              </w:rPr>
              <w:t>分）</w:t>
            </w:r>
          </w:p>
        </w:tc>
        <w:tc>
          <w:tcPr>
            <w:tcW w:w="2126" w:type="dxa"/>
            <w:vAlign w:val="center"/>
          </w:tcPr>
          <w:p>
            <w:pPr>
              <w:autoSpaceDE/>
              <w:autoSpaceDN/>
              <w:spacing w:before="123" w:line="220" w:lineRule="exact"/>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社会效益</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ascii="仿宋" w:hAnsi="仿宋" w:eastAsia="仿宋" w:cs="Times New Roman"/>
                <w:color w:val="auto"/>
                <w:kern w:val="2"/>
                <w:sz w:val="20"/>
                <w:szCs w:val="20"/>
                <w:highlight w:val="none"/>
                <w:lang w:eastAsia="zh-CN"/>
              </w:rPr>
              <w:t>合格率</w:t>
            </w:r>
            <w:r>
              <w:rPr>
                <w:rFonts w:hint="eastAsia" w:ascii="仿宋" w:hAnsi="仿宋" w:eastAsia="仿宋" w:cs="Times New Roman"/>
                <w:color w:val="auto"/>
                <w:kern w:val="2"/>
                <w:sz w:val="20"/>
                <w:szCs w:val="20"/>
                <w:highlight w:val="none"/>
                <w:lang w:eastAsia="zh-CN"/>
              </w:rPr>
              <w:t>（</w:t>
            </w:r>
            <w:r>
              <w:rPr>
                <w:rFonts w:hint="eastAsia" w:ascii="仿宋" w:hAnsi="仿宋" w:eastAsia="仿宋" w:cs="Times New Roman"/>
                <w:color w:val="auto"/>
                <w:kern w:val="2"/>
                <w:sz w:val="20"/>
                <w:szCs w:val="20"/>
                <w:highlight w:val="none"/>
                <w:lang w:val="en-US" w:eastAsia="zh-CN"/>
              </w:rPr>
              <w:t>15分）</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w:t>
            </w:r>
            <w:r>
              <w:rPr>
                <w:rFonts w:hint="eastAsia" w:ascii="仿宋" w:hAnsi="仿宋" w:eastAsia="仿宋" w:cs="Times New Roman"/>
                <w:color w:val="auto"/>
                <w:kern w:val="2"/>
                <w:sz w:val="20"/>
                <w:szCs w:val="20"/>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1565" w:type="dxa"/>
            <w:vMerge w:val="continue"/>
            <w:tcBorders>
              <w:top w:val="nil"/>
              <w:bottom w:val="single" w:color="auto" w:sz="4" w:space="0"/>
            </w:tcBorders>
            <w:vAlign w:val="center"/>
          </w:tcPr>
          <w:p>
            <w:pPr>
              <w:autoSpaceDE/>
              <w:autoSpaceDN/>
              <w:spacing w:line="220" w:lineRule="exact"/>
              <w:jc w:val="center"/>
              <w:rPr>
                <w:rFonts w:ascii="Times New Roman" w:hAnsi="Times New Roman" w:cs="Times New Roman"/>
                <w:color w:val="auto"/>
                <w:kern w:val="2"/>
                <w:sz w:val="2"/>
                <w:szCs w:val="2"/>
                <w:highlight w:val="none"/>
                <w:lang w:eastAsia="zh-CN"/>
              </w:rPr>
            </w:pPr>
          </w:p>
        </w:tc>
        <w:tc>
          <w:tcPr>
            <w:tcW w:w="2126" w:type="dxa"/>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满意度</w:t>
            </w:r>
            <w:r>
              <w:rPr>
                <w:rFonts w:hint="eastAsia" w:ascii="Times New Roman" w:hAnsi="Times New Roman" w:eastAsia="仿宋" w:cs="Times New Roman"/>
                <w:color w:val="auto"/>
                <w:kern w:val="2"/>
                <w:sz w:val="21"/>
                <w:szCs w:val="20"/>
                <w:highlight w:val="none"/>
                <w:lang w:eastAsia="zh-CN"/>
              </w:rPr>
              <w:t>（15分）</w:t>
            </w:r>
          </w:p>
        </w:tc>
        <w:tc>
          <w:tcPr>
            <w:tcW w:w="3118"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人员满意度（</w:t>
            </w:r>
            <w:r>
              <w:rPr>
                <w:rFonts w:hint="eastAsia" w:ascii="仿宋" w:hAnsi="仿宋" w:eastAsia="仿宋" w:cs="Times New Roman"/>
                <w:color w:val="auto"/>
                <w:kern w:val="2"/>
                <w:sz w:val="20"/>
                <w:szCs w:val="20"/>
                <w:highlight w:val="none"/>
                <w:lang w:val="en-US" w:eastAsia="zh-CN"/>
              </w:rPr>
              <w:t>15分</w:t>
            </w:r>
            <w:r>
              <w:rPr>
                <w:rFonts w:hint="eastAsia" w:ascii="仿宋" w:hAnsi="仿宋" w:eastAsia="仿宋" w:cs="Times New Roman"/>
                <w:color w:val="auto"/>
                <w:kern w:val="2"/>
                <w:sz w:val="20"/>
                <w:szCs w:val="20"/>
                <w:highlight w:val="none"/>
                <w:lang w:eastAsia="zh-CN"/>
              </w:rPr>
              <w:t>）</w:t>
            </w:r>
          </w:p>
        </w:tc>
        <w:tc>
          <w:tcPr>
            <w:tcW w:w="1985" w:type="dxa"/>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hint="eastAsia" w:ascii="仿宋" w:hAnsi="仿宋" w:eastAsia="仿宋" w:cs="Times New Roman"/>
                <w:color w:val="auto"/>
                <w:kern w:val="2"/>
                <w:sz w:val="20"/>
                <w:szCs w:val="20"/>
                <w:highlight w:val="none"/>
                <w:lang w:eastAsia="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总分</w:t>
            </w:r>
            <w:r>
              <w:rPr>
                <w:rFonts w:hint="eastAsia" w:ascii="Times New Roman" w:hAnsi="Times New Roman" w:eastAsia="仿宋" w:cs="Times New Roman"/>
                <w:color w:val="auto"/>
                <w:kern w:val="2"/>
                <w:sz w:val="21"/>
                <w:szCs w:val="20"/>
                <w:highlight w:val="none"/>
                <w:lang w:eastAsia="zh-CN"/>
              </w:rPr>
              <w:t>（100分）</w:t>
            </w:r>
          </w:p>
        </w:tc>
        <w:tc>
          <w:tcPr>
            <w:tcW w:w="5103" w:type="dxa"/>
            <w:gridSpan w:val="2"/>
            <w:vAlign w:val="center"/>
          </w:tcPr>
          <w:p>
            <w:pPr>
              <w:autoSpaceDE/>
              <w:autoSpaceDN/>
              <w:spacing w:before="72" w:line="220" w:lineRule="exact"/>
              <w:ind w:left="225" w:right="217"/>
              <w:jc w:val="center"/>
              <w:rPr>
                <w:rFonts w:hint="default" w:ascii="仿宋" w:hAnsi="仿宋" w:eastAsia="仿宋" w:cs="Times New Roman"/>
                <w:color w:val="auto"/>
                <w:kern w:val="2"/>
                <w:sz w:val="20"/>
                <w:szCs w:val="20"/>
                <w:highlight w:val="none"/>
                <w:lang w:val="en-US" w:eastAsia="zh-CN"/>
              </w:rPr>
            </w:pPr>
            <w:r>
              <w:rPr>
                <w:rFonts w:hint="eastAsia" w:ascii="仿宋" w:hAnsi="仿宋" w:eastAsia="仿宋" w:cs="Times New Roman"/>
                <w:color w:val="auto"/>
                <w:kern w:val="2"/>
                <w:sz w:val="20"/>
                <w:szCs w:val="20"/>
                <w:highlight w:val="none"/>
                <w:lang w:eastAsia="zh-CN"/>
              </w:rPr>
              <w:t>9</w:t>
            </w:r>
            <w:r>
              <w:rPr>
                <w:rFonts w:hint="eastAsia" w:ascii="仿宋" w:hAnsi="仿宋" w:eastAsia="仿宋" w:cs="Times New Roman"/>
                <w:color w:val="auto"/>
                <w:kern w:val="2"/>
                <w:sz w:val="20"/>
                <w:szCs w:val="20"/>
                <w:highlight w:val="none"/>
                <w:lang w:val="en-US"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3691" w:type="dxa"/>
            <w:gridSpan w:val="2"/>
            <w:tcBorders>
              <w:top w:val="single" w:color="auto" w:sz="4" w:space="0"/>
              <w:left w:val="single" w:color="auto" w:sz="4" w:space="0"/>
              <w:bottom w:val="single" w:color="auto" w:sz="4" w:space="0"/>
            </w:tcBorders>
            <w:vAlign w:val="center"/>
          </w:tcPr>
          <w:p>
            <w:pPr>
              <w:autoSpaceDE/>
              <w:autoSpaceDN/>
              <w:spacing w:before="124" w:line="220" w:lineRule="exact"/>
              <w:ind w:left="82"/>
              <w:jc w:val="center"/>
              <w:rPr>
                <w:rFonts w:ascii="Times New Roman" w:hAnsi="Times New Roman" w:eastAsia="仿宋" w:cs="Times New Roman"/>
                <w:color w:val="auto"/>
                <w:kern w:val="2"/>
                <w:sz w:val="21"/>
                <w:szCs w:val="20"/>
                <w:highlight w:val="none"/>
                <w:lang w:eastAsia="zh-CN"/>
              </w:rPr>
            </w:pPr>
            <w:r>
              <w:rPr>
                <w:rFonts w:ascii="Times New Roman" w:hAnsi="Times New Roman" w:eastAsia="仿宋" w:cs="Times New Roman"/>
                <w:color w:val="auto"/>
                <w:kern w:val="2"/>
                <w:sz w:val="21"/>
                <w:szCs w:val="20"/>
                <w:highlight w:val="none"/>
                <w:lang w:eastAsia="zh-CN"/>
              </w:rPr>
              <w:t>评价等次</w:t>
            </w:r>
          </w:p>
        </w:tc>
        <w:tc>
          <w:tcPr>
            <w:tcW w:w="5103" w:type="dxa"/>
            <w:gridSpan w:val="2"/>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优</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4" w:hRule="atLeast"/>
        </w:trPr>
        <w:tc>
          <w:tcPr>
            <w:tcW w:w="8794" w:type="dxa"/>
            <w:gridSpan w:val="4"/>
            <w:tcBorders>
              <w:top w:val="single" w:color="auto" w:sz="4" w:space="0"/>
              <w:left w:val="single" w:color="auto" w:sz="4" w:space="0"/>
              <w:bottom w:val="single" w:color="auto" w:sz="4" w:space="0"/>
            </w:tcBorders>
            <w:vAlign w:val="center"/>
          </w:tcPr>
          <w:p>
            <w:pPr>
              <w:autoSpaceDE/>
              <w:autoSpaceDN/>
              <w:spacing w:before="72" w:line="220" w:lineRule="exact"/>
              <w:ind w:left="225" w:right="217"/>
              <w:jc w:val="center"/>
              <w:rPr>
                <w:rFonts w:ascii="仿宋" w:hAnsi="仿宋" w:eastAsia="仿宋" w:cs="Times New Roman"/>
                <w:color w:val="auto"/>
                <w:kern w:val="2"/>
                <w:sz w:val="20"/>
                <w:szCs w:val="20"/>
                <w:highlight w:val="none"/>
                <w:lang w:eastAsia="zh-CN"/>
              </w:rPr>
            </w:pPr>
            <w:r>
              <w:rPr>
                <w:rFonts w:ascii="仿宋" w:hAnsi="仿宋" w:eastAsia="仿宋" w:cs="Times New Roman"/>
                <w:color w:val="auto"/>
                <w:kern w:val="2"/>
                <w:sz w:val="20"/>
                <w:szCs w:val="20"/>
                <w:highlight w:val="none"/>
                <w:lang w:eastAsia="zh-CN"/>
              </w:rPr>
              <w:t>100-90（含）分为优、90-80（含）分为良、80-60（含）分为中、60分以下为差</w:t>
            </w:r>
            <w:r>
              <w:rPr>
                <w:rFonts w:ascii="仿宋" w:hAnsi="仿宋" w:eastAsia="仿宋" w:cs="Times New Roman"/>
                <w:color w:val="auto"/>
                <w:kern w:val="2"/>
                <w:sz w:val="20"/>
                <w:szCs w:val="20"/>
                <w:highlight w:val="none"/>
                <w:lang w:eastAsia="zh-CN"/>
              </w:rPr>
              <w:tab/>
            </w:r>
          </w:p>
        </w:tc>
      </w:tr>
    </w:tbl>
    <w:p>
      <w:pPr>
        <w:pStyle w:val="4"/>
        <w:rPr>
          <w:color w:val="auto"/>
          <w:highlight w:val="none"/>
        </w:rPr>
      </w:pPr>
    </w:p>
    <w:p>
      <w:pPr>
        <w:spacing w:line="360" w:lineRule="auto"/>
        <w:ind w:firstLine="643" w:firstLineChars="200"/>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3.评价方法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绩效评价主要采用以下评价方法：</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（1）成本效益分析法。是指将一定时期内的支出与效益进行对比分析，以评价绩效目标实现程度。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（2）比较分析法。指通过对绩效目标与实施效果、当期情况的比较，综合分析绩效目标实现程度。</w:t>
      </w:r>
    </w:p>
    <w:p>
      <w:pPr>
        <w:pStyle w:val="12"/>
        <w:spacing w:line="360" w:lineRule="auto"/>
        <w:ind w:left="0" w:leftChars="0" w:firstLine="64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（3）公众评判法。是指通过公众问卷及抽样调查等对财政支出效果进行评判，评价绩效目标实现程度。</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rPr>
        <w:t>4.评价标准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w:t>
      </w:r>
      <w:r>
        <w:rPr>
          <w:rFonts w:hint="eastAsia" w:ascii="仿宋_GB2312" w:hAnsi="仿宋_GB2312" w:eastAsia="仿宋_GB2312" w:cs="仿宋_GB2312"/>
          <w:b w:val="0"/>
          <w:color w:val="auto"/>
          <w:kern w:val="2"/>
          <w:sz w:val="32"/>
          <w:szCs w:val="32"/>
          <w:highlight w:val="none"/>
          <w:lang w:val="en-US" w:eastAsia="zh-CN" w:bidi="ar-SA"/>
        </w:rPr>
        <w:t>《南昌市财政局关于开展2025年度全市预算单位自评及部门评价工作的通知》（洪财绩〔2026〕1号）文件精神</w:t>
      </w:r>
      <w:r>
        <w:rPr>
          <w:rFonts w:hint="eastAsia" w:ascii="仿宋_GB2312" w:hAnsi="仿宋_GB2312" w:eastAsia="仿宋_GB2312" w:cs="仿宋_GB2312"/>
          <w:color w:val="auto"/>
          <w:sz w:val="32"/>
          <w:szCs w:val="32"/>
          <w:highlight w:val="none"/>
        </w:rPr>
        <w:t>，参照财政部《项目支出绩效评价共性指标体系框架》制定了《项目支出绩效评价指标体系评分表》，经我</w:t>
      </w:r>
      <w:r>
        <w:rPr>
          <w:rFonts w:hint="eastAsia" w:ascii="仿宋_GB2312" w:hAnsi="仿宋_GB2312" w:eastAsia="仿宋_GB2312" w:cs="仿宋_GB2312"/>
          <w:color w:val="auto"/>
          <w:sz w:val="32"/>
          <w:szCs w:val="32"/>
          <w:highlight w:val="none"/>
          <w:lang w:val="en-US" w:eastAsia="zh-CN"/>
        </w:rPr>
        <w:t>单位</w:t>
      </w:r>
      <w:r>
        <w:rPr>
          <w:rFonts w:hint="eastAsia" w:ascii="仿宋_GB2312" w:hAnsi="仿宋_GB2312" w:eastAsia="仿宋_GB2312" w:cs="仿宋_GB2312"/>
          <w:color w:val="auto"/>
          <w:sz w:val="32"/>
          <w:szCs w:val="32"/>
          <w:highlight w:val="none"/>
        </w:rPr>
        <w:t>自评，</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年项目支出绩效评价得分</w:t>
      </w:r>
      <w:r>
        <w:rPr>
          <w:rFonts w:hint="eastAsia" w:ascii="仿宋_GB2312" w:hAnsi="仿宋_GB2312" w:eastAsia="仿宋_GB2312" w:cs="仿宋_GB2312"/>
          <w:color w:val="auto"/>
          <w:sz w:val="32"/>
          <w:szCs w:val="32"/>
          <w:highlight w:val="none"/>
          <w:lang w:val="en-US" w:eastAsia="zh-CN"/>
        </w:rPr>
        <w:t>97分</w:t>
      </w:r>
      <w:r>
        <w:rPr>
          <w:rFonts w:hint="eastAsia" w:ascii="仿宋_GB2312" w:hAnsi="仿宋_GB2312" w:eastAsia="仿宋_GB2312" w:cs="仿宋_GB2312"/>
          <w:color w:val="auto"/>
          <w:sz w:val="32"/>
          <w:szCs w:val="32"/>
          <w:highlight w:val="none"/>
        </w:rPr>
        <w:t>。</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（三）绩效评价工作过程</w:t>
      </w:r>
    </w:p>
    <w:p>
      <w:pPr>
        <w:pStyle w:val="4"/>
        <w:spacing w:before="91" w:line="411" w:lineRule="auto"/>
        <w:ind w:left="31" w:firstLine="561"/>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 xml:space="preserve">本次项目的评价是评价组进行项目调研，研发设计绩效指标体系、基础数据报表体系和调研方案，同时评价组到实地采集数据，完善评价基础资料。评价组工作人员对基础数据进行查验，就项目的目标及实施效果等做深入了解，并组织开展访谈等调研，之后汇总分析评价数据，依据制订的评价标准和评分规则，对项目投入产出绩效进行量化评分。依据项目立项、项目执行、项目管理、项目资金运用及使用情况，以及项目投入产出绩效，撰写绩效评价报告，针对存在问题提出改进建议。 </w:t>
      </w: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三、综合评价情况及评价结论</w:t>
      </w:r>
    </w:p>
    <w:p>
      <w:pPr>
        <w:spacing w:line="360" w:lineRule="auto"/>
        <w:ind w:firstLine="640" w:firstLineChars="200"/>
        <w:outlineLvl w:val="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根据自评绩效评分细则，我们严格按照经费管理原则管理和使用，严格执行预算管理、防止各种违反财经纪律的行为、保障重点、量入为出、收支平衡的原则，提高</w:t>
      </w:r>
      <w:r>
        <w:rPr>
          <w:rFonts w:hint="eastAsia" w:ascii="仿宋_GB2312" w:hAnsi="仿宋_GB2312" w:eastAsia="仿宋_GB2312" w:cs="仿宋_GB2312"/>
          <w:color w:val="auto"/>
          <w:sz w:val="32"/>
          <w:szCs w:val="32"/>
          <w:highlight w:val="none"/>
          <w:lang w:eastAsia="zh-CN"/>
        </w:rPr>
        <w:t>财政</w:t>
      </w:r>
      <w:bookmarkStart w:id="0" w:name="_GoBack"/>
      <w:bookmarkEnd w:id="0"/>
      <w:r>
        <w:rPr>
          <w:rFonts w:hint="eastAsia" w:ascii="仿宋_GB2312" w:hAnsi="仿宋_GB2312" w:eastAsia="仿宋_GB2312" w:cs="仿宋_GB2312"/>
          <w:color w:val="auto"/>
          <w:sz w:val="32"/>
          <w:szCs w:val="32"/>
          <w:highlight w:val="none"/>
        </w:rPr>
        <w:t>资金使用效益。</w:t>
      </w:r>
      <w:r>
        <w:rPr>
          <w:rFonts w:hint="eastAsia" w:ascii="仿宋_GB2312" w:hAnsi="仿宋_GB2312" w:eastAsia="仿宋_GB2312" w:cs="仿宋_GB2312"/>
          <w:color w:val="auto"/>
          <w:sz w:val="32"/>
          <w:szCs w:val="32"/>
          <w:highlight w:val="none"/>
          <w:lang w:val="en-US" w:eastAsia="zh-CN"/>
        </w:rPr>
        <w:t>“无业人员独生子女父母奖励”绩效自评得分为97分，</w:t>
      </w:r>
      <w:r>
        <w:rPr>
          <w:rFonts w:hint="eastAsia" w:ascii="仿宋_GB2312" w:hAnsi="仿宋_GB2312" w:eastAsia="仿宋_GB2312" w:cs="仿宋_GB2312"/>
          <w:color w:val="auto"/>
          <w:sz w:val="32"/>
          <w:szCs w:val="32"/>
          <w:highlight w:val="none"/>
        </w:rPr>
        <w:t>经绩效评价小组复核，</w:t>
      </w:r>
      <w:r>
        <w:rPr>
          <w:rFonts w:hint="eastAsia" w:ascii="仿宋_GB2312" w:hAnsi="仿宋_GB2312" w:eastAsia="仿宋_GB2312" w:cs="仿宋_GB2312"/>
          <w:color w:val="auto"/>
          <w:sz w:val="32"/>
          <w:szCs w:val="32"/>
          <w:highlight w:val="none"/>
          <w:lang w:val="en-US" w:eastAsia="zh-CN"/>
        </w:rPr>
        <w:t>“无业人员独生子女父母奖励”</w:t>
      </w:r>
      <w:r>
        <w:rPr>
          <w:rFonts w:hint="eastAsia" w:ascii="仿宋_GB2312" w:hAnsi="仿宋_GB2312" w:eastAsia="仿宋_GB2312" w:cs="仿宋_GB2312"/>
          <w:color w:val="auto"/>
          <w:sz w:val="32"/>
          <w:szCs w:val="32"/>
          <w:highlight w:val="none"/>
        </w:rPr>
        <w:t>项目最终绩效评价得分为9</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分，评价等级为“优”。</w:t>
      </w:r>
    </w:p>
    <w:p>
      <w:pPr>
        <w:pStyle w:val="4"/>
        <w:rPr>
          <w:rFonts w:hint="eastAsia"/>
          <w:color w:val="auto"/>
          <w:highlight w:val="none"/>
          <w:lang w:val="en-US" w:eastAsia="zh-CN"/>
        </w:rPr>
      </w:pPr>
    </w:p>
    <w:p>
      <w:pPr>
        <w:spacing w:line="360" w:lineRule="auto"/>
        <w:ind w:firstLine="643" w:firstLineChars="200"/>
        <w:outlineLvl w:val="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四、绩效评价指标分析</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default" w:ascii="楷体_GB2312" w:hAnsi="楷体_GB2312" w:eastAsia="楷体_GB2312" w:cs="楷体_GB2312"/>
          <w:b w:val="0"/>
          <w:bCs w:val="0"/>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rPr>
        <w:t>（一）项目决策情况（1</w:t>
      </w:r>
      <w:r>
        <w:rPr>
          <w:rFonts w:hint="eastAsia" w:ascii="楷体_GB2312" w:hAnsi="楷体_GB2312" w:eastAsia="楷体_GB2312" w:cs="楷体_GB2312"/>
          <w:b w:val="0"/>
          <w:bCs w:val="0"/>
          <w:color w:val="auto"/>
          <w:sz w:val="32"/>
          <w:szCs w:val="32"/>
          <w:highlight w:val="none"/>
          <w:lang w:val="en-US" w:eastAsia="zh-CN"/>
        </w:rPr>
        <w:t>5</w:t>
      </w:r>
      <w:r>
        <w:rPr>
          <w:rFonts w:hint="eastAsia" w:ascii="楷体_GB2312" w:hAnsi="楷体_GB2312" w:eastAsia="楷体_GB2312" w:cs="楷体_GB2312"/>
          <w:b w:val="0"/>
          <w:bCs w:val="0"/>
          <w:color w:val="auto"/>
          <w:sz w:val="32"/>
          <w:szCs w:val="32"/>
          <w:highlight w:val="none"/>
        </w:rPr>
        <w:t>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1.项目立项</w:t>
      </w:r>
      <w:r>
        <w:rPr>
          <w:rFonts w:hint="eastAsia" w:ascii="仿宋_GB2312" w:hAnsi="仿宋_GB2312" w:eastAsia="仿宋_GB2312" w:cs="仿宋_GB2312"/>
          <w:b/>
          <w:bCs/>
          <w:color w:val="auto"/>
          <w:sz w:val="32"/>
          <w:szCs w:val="32"/>
          <w:highlight w:val="none"/>
        </w:rPr>
        <w:t>（</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outlineLvl w:val="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本项目严格按有关规章制度进行管理，活动项目立项、资金使用等经主席办公会集体讨论决定，对项目绩效目标、资金分配、资金落实、完成时限等均提出了明确具体的要求，保证了本项目保质保量。完成了目标值，依据评分标准，该项指标得5分。</w:t>
      </w:r>
    </w:p>
    <w:p>
      <w:pPr>
        <w:spacing w:line="360" w:lineRule="auto"/>
        <w:ind w:firstLine="643" w:firstLineChars="200"/>
        <w:outlineLvl w:val="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绩效目标（</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目标设定充分依据项目实际需求，目标和指标的设计符合项目管理规范;指标采取定量与定性相结合，通过清晰、可衡量的指标值将绩效目标反映出来，考核指标设立合理;项目预期产出效益和效果符合正常的工作水平，绩效指标具体可测性。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w:t>
      </w:r>
      <w:r>
        <w:rPr>
          <w:rFonts w:hint="eastAsia" w:ascii="仿宋_GB2312" w:hAnsi="仿宋_GB2312" w:eastAsia="仿宋_GB2312" w:cs="仿宋_GB2312"/>
          <w:b/>
          <w:bCs/>
          <w:color w:val="auto"/>
          <w:sz w:val="32"/>
          <w:szCs w:val="32"/>
          <w:highlight w:val="none"/>
        </w:rPr>
        <w:t>资金投入（</w:t>
      </w:r>
      <w:r>
        <w:rPr>
          <w:rFonts w:hint="eastAsia" w:ascii="仿宋_GB2312" w:hAnsi="仿宋_GB2312" w:eastAsia="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该项目严格按照程序进行项目的预算申报，并根据项目实际需要和本年度计划工作内容，设定了绩效目标，且目标明确，与预算确定的项目投资额相匹配。完成了目标值，依据评分标准，该项指标得</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（二）项目过程情况（</w:t>
      </w:r>
      <w:r>
        <w:rPr>
          <w:rFonts w:hint="eastAsia" w:ascii="楷体_GB2312" w:hAnsi="楷体_GB2312" w:eastAsia="楷体_GB2312" w:cs="楷体_GB2312"/>
          <w:b w:val="0"/>
          <w:bCs w:val="0"/>
          <w:color w:val="auto"/>
          <w:sz w:val="32"/>
          <w:szCs w:val="32"/>
          <w:highlight w:val="none"/>
          <w:lang w:val="en-US" w:eastAsia="zh-CN"/>
        </w:rPr>
        <w:t>15</w:t>
      </w:r>
      <w:r>
        <w:rPr>
          <w:rFonts w:hint="eastAsia" w:ascii="楷体_GB2312" w:hAnsi="楷体_GB2312" w:eastAsia="楷体_GB2312" w:cs="楷体_GB2312"/>
          <w:b w:val="0"/>
          <w:bCs w:val="0"/>
          <w:color w:val="auto"/>
          <w:sz w:val="32"/>
          <w:szCs w:val="32"/>
          <w:highlight w:val="none"/>
        </w:rPr>
        <w:t>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资金</w:t>
      </w:r>
      <w:r>
        <w:rPr>
          <w:rFonts w:hint="eastAsia" w:ascii="仿宋_GB2312" w:hAnsi="仿宋_GB2312" w:eastAsia="仿宋_GB2312" w:cs="仿宋_GB2312"/>
          <w:b/>
          <w:bCs/>
          <w:color w:val="auto"/>
          <w:sz w:val="32"/>
          <w:szCs w:val="32"/>
          <w:highlight w:val="none"/>
          <w:lang w:val="en-US" w:eastAsia="zh-CN"/>
        </w:rPr>
        <w:t>到位率</w:t>
      </w:r>
      <w:r>
        <w:rPr>
          <w:rFonts w:hint="eastAsia" w:ascii="仿宋_GB2312" w:hAnsi="仿宋_GB2312" w:eastAsia="仿宋_GB2312" w:cs="仿宋_GB2312"/>
          <w:b/>
          <w:bCs/>
          <w:color w:val="auto"/>
          <w:sz w:val="32"/>
          <w:szCs w:val="32"/>
          <w:highlight w:val="none"/>
        </w:rPr>
        <w:t>（3分）</w:t>
      </w:r>
    </w:p>
    <w:p>
      <w:pPr>
        <w:pStyle w:val="12"/>
        <w:spacing w:line="360" w:lineRule="auto"/>
        <w:ind w:left="0" w:leftChars="0" w:firstLine="640"/>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2025</w:t>
      </w:r>
      <w:r>
        <w:rPr>
          <w:rFonts w:hint="eastAsia" w:ascii="仿宋_GB2312" w:hAnsi="仿宋_GB2312" w:eastAsia="仿宋_GB2312" w:cs="仿宋_GB2312"/>
          <w:color w:val="auto"/>
          <w:sz w:val="32"/>
          <w:szCs w:val="32"/>
          <w:highlight w:val="none"/>
          <w:lang w:val="en-US" w:eastAsia="zh-CN"/>
        </w:rPr>
        <w:t>年度</w:t>
      </w:r>
      <w:r>
        <w:rPr>
          <w:rFonts w:hint="eastAsia" w:ascii="仿宋_GB2312" w:hAnsi="仿宋_GB2312" w:cs="仿宋_GB2312"/>
          <w:color w:val="auto"/>
          <w:sz w:val="32"/>
          <w:szCs w:val="32"/>
          <w:highlight w:val="none"/>
          <w:lang w:val="en-US" w:eastAsia="zh-CN"/>
        </w:rPr>
        <w:t>“无业人员独生子女父母奖励”</w:t>
      </w:r>
      <w:r>
        <w:rPr>
          <w:rFonts w:hint="eastAsia" w:ascii="仿宋_GB2312" w:hAnsi="仿宋_GB2312" w:eastAsia="仿宋_GB2312" w:cs="仿宋_GB2312"/>
          <w:color w:val="auto"/>
          <w:sz w:val="32"/>
          <w:szCs w:val="32"/>
          <w:highlight w:val="none"/>
          <w:lang w:val="en-US" w:eastAsia="zh-CN"/>
        </w:rPr>
        <w:t>资金预算数</w:t>
      </w:r>
      <w:r>
        <w:rPr>
          <w:rFonts w:hint="eastAsia" w:ascii="仿宋_GB2312" w:hAnsi="仿宋_GB2312" w:cs="仿宋_GB2312"/>
          <w:color w:val="auto"/>
          <w:sz w:val="32"/>
          <w:szCs w:val="32"/>
          <w:highlight w:val="none"/>
          <w:lang w:val="en-US" w:eastAsia="zh-CN"/>
        </w:rPr>
        <w:t>0.2万</w:t>
      </w:r>
      <w:r>
        <w:rPr>
          <w:rFonts w:hint="eastAsia" w:ascii="仿宋_GB2312" w:hAnsi="仿宋_GB2312" w:eastAsia="仿宋_GB2312" w:cs="仿宋_GB2312"/>
          <w:color w:val="auto"/>
          <w:sz w:val="32"/>
          <w:szCs w:val="32"/>
          <w:highlight w:val="none"/>
          <w:lang w:val="en-US" w:eastAsia="zh-CN"/>
        </w:rPr>
        <w:t>元，全年专项资金到位</w:t>
      </w:r>
      <w:r>
        <w:rPr>
          <w:rFonts w:hint="eastAsia" w:ascii="仿宋_GB2312" w:hAnsi="仿宋_GB2312" w:cs="仿宋_GB2312"/>
          <w:color w:val="auto"/>
          <w:sz w:val="32"/>
          <w:szCs w:val="32"/>
          <w:highlight w:val="none"/>
          <w:lang w:val="en-US" w:eastAsia="zh-CN"/>
        </w:rPr>
        <w:t>0.2万</w:t>
      </w:r>
      <w:r>
        <w:rPr>
          <w:rFonts w:hint="eastAsia" w:ascii="仿宋_GB2312" w:hAnsi="仿宋_GB2312" w:eastAsia="仿宋_GB2312" w:cs="仿宋_GB2312"/>
          <w:color w:val="auto"/>
          <w:sz w:val="32"/>
          <w:szCs w:val="32"/>
          <w:highlight w:val="none"/>
          <w:lang w:val="en-US" w:eastAsia="zh-CN"/>
        </w:rPr>
        <w:t>，到位率良好，该指标得分为3分。</w:t>
      </w:r>
    </w:p>
    <w:p>
      <w:pPr>
        <w:pStyle w:val="12"/>
        <w:spacing w:line="360" w:lineRule="auto"/>
        <w:ind w:left="0" w:leftChars="0" w:firstLine="640"/>
        <w:rPr>
          <w:rFonts w:hint="eastAsia" w:ascii="仿宋_GB2312" w:hAnsi="仿宋_GB2312" w:eastAsia="仿宋_GB2312" w:cs="仿宋_GB2312"/>
          <w:b/>
          <w:bCs/>
          <w:color w:val="auto"/>
          <w:sz w:val="32"/>
          <w:szCs w:val="32"/>
          <w:highlight w:val="none"/>
        </w:rPr>
      </w:pPr>
      <w:r>
        <w:rPr>
          <w:rFonts w:hint="eastAsia" w:ascii="仿宋_GB2312" w:hAnsi="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资金执行</w:t>
      </w:r>
      <w:r>
        <w:rPr>
          <w:rFonts w:hint="eastAsia" w:ascii="仿宋_GB2312" w:hAnsi="仿宋_GB2312" w:eastAsia="仿宋_GB2312" w:cs="仿宋_GB2312"/>
          <w:b/>
          <w:bCs/>
          <w:color w:val="auto"/>
          <w:sz w:val="32"/>
          <w:szCs w:val="32"/>
          <w:highlight w:val="none"/>
          <w:lang w:val="en-US" w:eastAsia="zh-CN"/>
        </w:rPr>
        <w:t>率</w:t>
      </w:r>
      <w:r>
        <w:rPr>
          <w:rFonts w:hint="eastAsia" w:ascii="仿宋_GB2312" w:hAnsi="仿宋_GB2312" w:eastAsia="仿宋_GB2312" w:cs="仿宋_GB2312"/>
          <w:b/>
          <w:bCs/>
          <w:color w:val="auto"/>
          <w:sz w:val="32"/>
          <w:szCs w:val="32"/>
          <w:highlight w:val="none"/>
        </w:rPr>
        <w:t>（3分）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eastAsia="zh-CN"/>
        </w:rPr>
        <w:t>2025</w:t>
      </w:r>
      <w:r>
        <w:rPr>
          <w:rFonts w:hint="eastAsia" w:ascii="仿宋_GB2312" w:hAnsi="仿宋_GB2312" w:eastAsia="仿宋_GB2312" w:cs="仿宋_GB2312"/>
          <w:color w:val="auto"/>
          <w:sz w:val="32"/>
          <w:szCs w:val="32"/>
          <w:highlight w:val="none"/>
        </w:rPr>
        <w:t>年度</w:t>
      </w:r>
      <w:r>
        <w:rPr>
          <w:rFonts w:hint="eastAsia" w:ascii="仿宋_GB2312" w:hAnsi="仿宋_GB2312" w:eastAsia="仿宋_GB2312" w:cs="仿宋_GB2312"/>
          <w:color w:val="auto"/>
          <w:sz w:val="32"/>
          <w:szCs w:val="32"/>
          <w:highlight w:val="none"/>
          <w:lang w:val="en-US" w:eastAsia="zh-CN"/>
        </w:rPr>
        <w:t>“无业人员独生子女父母奖励”</w:t>
      </w:r>
      <w:r>
        <w:rPr>
          <w:rFonts w:hint="eastAsia" w:ascii="仿宋_GB2312" w:hAnsi="仿宋_GB2312" w:eastAsia="仿宋_GB2312" w:cs="仿宋_GB2312"/>
          <w:color w:val="auto"/>
          <w:sz w:val="32"/>
          <w:szCs w:val="32"/>
          <w:highlight w:val="none"/>
        </w:rPr>
        <w:t>资金年初预算数</w:t>
      </w:r>
      <w:r>
        <w:rPr>
          <w:rFonts w:hint="eastAsia" w:ascii="仿宋_GB2312" w:hAnsi="仿宋_GB2312" w:eastAsia="仿宋_GB2312" w:cs="仿宋_GB2312"/>
          <w:color w:val="auto"/>
          <w:sz w:val="32"/>
          <w:szCs w:val="32"/>
          <w:highlight w:val="none"/>
          <w:lang w:val="en-US" w:eastAsia="zh-CN"/>
        </w:rPr>
        <w:t>0.2万</w:t>
      </w:r>
      <w:r>
        <w:rPr>
          <w:rFonts w:hint="eastAsia" w:ascii="仿宋_GB2312" w:hAnsi="仿宋_GB2312" w:eastAsia="仿宋_GB2312" w:cs="仿宋_GB2312"/>
          <w:color w:val="auto"/>
          <w:sz w:val="32"/>
          <w:szCs w:val="32"/>
          <w:highlight w:val="none"/>
        </w:rPr>
        <w:t>元，全年预算数</w:t>
      </w:r>
      <w:r>
        <w:rPr>
          <w:rFonts w:hint="eastAsia" w:ascii="仿宋_GB2312" w:hAnsi="仿宋_GB2312" w:eastAsia="仿宋_GB2312" w:cs="仿宋_GB2312"/>
          <w:color w:val="auto"/>
          <w:sz w:val="32"/>
          <w:szCs w:val="32"/>
          <w:highlight w:val="none"/>
          <w:lang w:val="en-US" w:eastAsia="zh-CN"/>
        </w:rPr>
        <w:t>0.2万</w:t>
      </w:r>
      <w:r>
        <w:rPr>
          <w:rFonts w:hint="eastAsia" w:ascii="仿宋_GB2312" w:hAnsi="仿宋_GB2312" w:eastAsia="仿宋_GB2312" w:cs="仿宋_GB2312"/>
          <w:color w:val="auto"/>
          <w:sz w:val="32"/>
          <w:szCs w:val="32"/>
          <w:highlight w:val="none"/>
        </w:rPr>
        <w:t>元，专项资金到位</w:t>
      </w:r>
      <w:r>
        <w:rPr>
          <w:rFonts w:hint="eastAsia" w:ascii="仿宋_GB2312" w:hAnsi="仿宋_GB2312" w:eastAsia="仿宋_GB2312" w:cs="仿宋_GB2312"/>
          <w:color w:val="auto"/>
          <w:sz w:val="32"/>
          <w:szCs w:val="32"/>
          <w:highlight w:val="none"/>
          <w:lang w:val="en-US" w:eastAsia="zh-CN"/>
        </w:rPr>
        <w:t>0.2万</w:t>
      </w:r>
      <w:r>
        <w:rPr>
          <w:rFonts w:hint="eastAsia" w:ascii="仿宋_GB2312" w:hAnsi="仿宋_GB2312" w:eastAsia="仿宋_GB2312" w:cs="仿宋_GB2312"/>
          <w:color w:val="auto"/>
          <w:sz w:val="32"/>
          <w:szCs w:val="32"/>
          <w:highlight w:val="none"/>
        </w:rPr>
        <w:t>元，全年执行数</w:t>
      </w:r>
      <w:r>
        <w:rPr>
          <w:rFonts w:hint="eastAsia" w:ascii="仿宋_GB2312" w:hAnsi="仿宋_GB2312" w:eastAsia="仿宋_GB2312" w:cs="仿宋_GB2312"/>
          <w:color w:val="auto"/>
          <w:sz w:val="32"/>
          <w:szCs w:val="32"/>
          <w:highlight w:val="none"/>
          <w:lang w:val="en-US" w:eastAsia="zh-CN"/>
        </w:rPr>
        <w:t>0.2万</w:t>
      </w:r>
      <w:r>
        <w:rPr>
          <w:rFonts w:hint="eastAsia" w:ascii="仿宋_GB2312" w:hAnsi="仿宋_GB2312" w:eastAsia="仿宋_GB2312" w:cs="仿宋_GB2312"/>
          <w:color w:val="auto"/>
          <w:sz w:val="32"/>
          <w:szCs w:val="32"/>
          <w:highlight w:val="none"/>
        </w:rPr>
        <w:t>元，预算资金执行率</w:t>
      </w:r>
      <w:r>
        <w:rPr>
          <w:rFonts w:hint="eastAsia" w:ascii="仿宋_GB2312" w:hAnsi="仿宋_GB2312" w:eastAsia="仿宋_GB2312" w:cs="仿宋_GB2312"/>
          <w:color w:val="auto"/>
          <w:sz w:val="32"/>
          <w:szCs w:val="32"/>
          <w:highlight w:val="none"/>
          <w:lang w:val="en-US" w:eastAsia="zh-CN"/>
        </w:rPr>
        <w:t>100%</w:t>
      </w:r>
      <w:r>
        <w:rPr>
          <w:rFonts w:hint="eastAsia" w:ascii="仿宋_GB2312" w:hAnsi="仿宋_GB2312" w:eastAsia="仿宋_GB2312" w:cs="仿宋_GB2312"/>
          <w:color w:val="auto"/>
          <w:sz w:val="32"/>
          <w:szCs w:val="32"/>
          <w:highlight w:val="none"/>
        </w:rPr>
        <w:t>。执行情况</w:t>
      </w:r>
      <w:r>
        <w:rPr>
          <w:rFonts w:hint="eastAsia" w:ascii="仿宋_GB2312" w:hAnsi="仿宋_GB2312" w:eastAsia="仿宋_GB2312" w:cs="仿宋_GB2312"/>
          <w:color w:val="auto"/>
          <w:sz w:val="32"/>
          <w:szCs w:val="32"/>
          <w:highlight w:val="none"/>
          <w:lang w:val="en-US" w:eastAsia="zh-CN"/>
        </w:rPr>
        <w:t>较好</w:t>
      </w:r>
      <w:r>
        <w:rPr>
          <w:rFonts w:hint="eastAsia" w:ascii="仿宋_GB2312" w:hAnsi="仿宋_GB2312" w:eastAsia="仿宋_GB2312" w:cs="仿宋_GB2312"/>
          <w:color w:val="auto"/>
          <w:sz w:val="32"/>
          <w:szCs w:val="32"/>
          <w:highlight w:val="none"/>
        </w:rPr>
        <w:t>，该指标得分为</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pStyle w:val="2"/>
        <w:spacing w:before="0" w:after="0" w:line="360" w:lineRule="auto"/>
        <w:ind w:firstLine="643" w:firstLineChars="200"/>
        <w:rPr>
          <w:rFonts w:hint="eastAsia" w:ascii="仿宋_GB2312" w:hAnsi="仿宋_GB2312" w:eastAsia="仿宋_GB2312" w:cs="仿宋_GB2312"/>
          <w:b/>
          <w:bCs/>
          <w:color w:val="auto"/>
          <w:szCs w:val="32"/>
          <w:highlight w:val="none"/>
        </w:rPr>
      </w:pP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资金使用</w:t>
      </w:r>
      <w:r>
        <w:rPr>
          <w:rFonts w:hint="eastAsia" w:ascii="仿宋_GB2312" w:hAnsi="仿宋_GB2312" w:eastAsia="仿宋_GB2312" w:cs="仿宋_GB2312"/>
          <w:b/>
          <w:bCs/>
          <w:color w:val="auto"/>
          <w:szCs w:val="32"/>
          <w:highlight w:val="none"/>
          <w:lang w:val="en-US" w:eastAsia="zh-CN"/>
        </w:rPr>
        <w:t>合规性</w:t>
      </w:r>
      <w:r>
        <w:rPr>
          <w:rFonts w:hint="eastAsia" w:ascii="仿宋_GB2312" w:hAnsi="仿宋_GB2312" w:eastAsia="仿宋_GB2312" w:cs="仿宋_GB2312"/>
          <w:b/>
          <w:bCs/>
          <w:color w:val="auto"/>
          <w:szCs w:val="32"/>
          <w:highlight w:val="none"/>
        </w:rPr>
        <w:t>（</w:t>
      </w:r>
      <w:r>
        <w:rPr>
          <w:rFonts w:hint="eastAsia" w:ascii="仿宋_GB2312" w:hAnsi="仿宋_GB2312" w:eastAsia="仿宋_GB2312" w:cs="仿宋_GB2312"/>
          <w:b/>
          <w:bCs/>
          <w:color w:val="auto"/>
          <w:szCs w:val="32"/>
          <w:highlight w:val="none"/>
          <w:lang w:val="en-US" w:eastAsia="zh-CN"/>
        </w:rPr>
        <w:t>3</w:t>
      </w:r>
      <w:r>
        <w:rPr>
          <w:rFonts w:hint="eastAsia" w:ascii="仿宋_GB2312" w:hAnsi="仿宋_GB2312" w:eastAsia="仿宋_GB2312" w:cs="仿宋_GB2312"/>
          <w:b/>
          <w:bCs/>
          <w:color w:val="auto"/>
          <w:szCs w:val="32"/>
          <w:highlight w:val="none"/>
        </w:rPr>
        <w:t>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在项目资金管理中，严格按照</w:t>
      </w:r>
      <w:r>
        <w:rPr>
          <w:rFonts w:hint="eastAsia" w:ascii="仿宋_GB2312" w:hAnsi="仿宋_GB2312" w:eastAsia="仿宋_GB2312" w:cs="仿宋_GB2312"/>
          <w:color w:val="auto"/>
          <w:sz w:val="32"/>
          <w:szCs w:val="32"/>
          <w:highlight w:val="none"/>
          <w:lang w:val="en-US" w:eastAsia="zh-CN"/>
        </w:rPr>
        <w:t>资金</w:t>
      </w:r>
      <w:r>
        <w:rPr>
          <w:rFonts w:hint="eastAsia" w:ascii="仿宋_GB2312" w:hAnsi="仿宋_GB2312" w:eastAsia="仿宋_GB2312" w:cs="仿宋_GB2312"/>
          <w:color w:val="auto"/>
          <w:sz w:val="32"/>
          <w:szCs w:val="32"/>
          <w:highlight w:val="none"/>
        </w:rPr>
        <w:t>管理</w:t>
      </w:r>
      <w:r>
        <w:rPr>
          <w:rFonts w:hint="eastAsia" w:ascii="仿宋_GB2312" w:hAnsi="仿宋_GB2312" w:eastAsia="仿宋_GB2312" w:cs="仿宋_GB2312"/>
          <w:color w:val="auto"/>
          <w:sz w:val="32"/>
          <w:szCs w:val="32"/>
          <w:highlight w:val="none"/>
          <w:lang w:val="en-US" w:eastAsia="zh-CN"/>
        </w:rPr>
        <w:t>办法</w:t>
      </w:r>
      <w:r>
        <w:rPr>
          <w:rFonts w:hint="eastAsia" w:ascii="仿宋_GB2312" w:hAnsi="仿宋_GB2312" w:eastAsia="仿宋_GB2312" w:cs="仿宋_GB2312"/>
          <w:color w:val="auto"/>
          <w:sz w:val="32"/>
          <w:szCs w:val="32"/>
          <w:highlight w:val="none"/>
        </w:rPr>
        <w:t>制度，严格</w:t>
      </w:r>
      <w:r>
        <w:rPr>
          <w:rFonts w:hint="eastAsia" w:ascii="仿宋_GB2312" w:hAnsi="仿宋_GB2312" w:eastAsia="仿宋_GB2312" w:cs="仿宋_GB2312"/>
          <w:color w:val="auto"/>
          <w:sz w:val="32"/>
          <w:szCs w:val="32"/>
          <w:highlight w:val="none"/>
          <w:lang w:val="en-US" w:eastAsia="zh-CN"/>
        </w:rPr>
        <w:t>专款专用</w:t>
      </w:r>
      <w:r>
        <w:rPr>
          <w:rFonts w:hint="eastAsia" w:ascii="仿宋_GB2312" w:hAnsi="仿宋_GB2312" w:eastAsia="仿宋_GB2312" w:cs="仿宋_GB2312"/>
          <w:color w:val="auto"/>
          <w:sz w:val="32"/>
          <w:szCs w:val="32"/>
          <w:highlight w:val="none"/>
        </w:rPr>
        <w:t>，该项指标得</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rPr>
        <w:t>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w:t>
      </w:r>
      <w:r>
        <w:rPr>
          <w:rFonts w:hint="eastAsia" w:ascii="仿宋_GB2312" w:hAnsi="仿宋_GB2312" w:eastAsia="仿宋_GB2312" w:cs="仿宋_GB2312"/>
          <w:b/>
          <w:bCs/>
          <w:color w:val="auto"/>
          <w:sz w:val="32"/>
          <w:szCs w:val="32"/>
          <w:highlight w:val="none"/>
        </w:rPr>
        <w:t>组织实施（</w:t>
      </w:r>
      <w:r>
        <w:rPr>
          <w:rFonts w:hint="eastAsia" w:ascii="仿宋_GB2312" w:hAnsi="仿宋_GB2312" w:eastAsia="仿宋_GB2312" w:cs="仿宋_GB2312"/>
          <w:b/>
          <w:bCs/>
          <w:color w:val="auto"/>
          <w:sz w:val="32"/>
          <w:szCs w:val="32"/>
          <w:highlight w:val="none"/>
          <w:lang w:val="en-US" w:eastAsia="zh-CN"/>
        </w:rPr>
        <w:t>6</w:t>
      </w:r>
      <w:r>
        <w:rPr>
          <w:rFonts w:hint="eastAsia" w:ascii="仿宋_GB2312" w:hAnsi="仿宋_GB2312" w:eastAsia="仿宋_GB2312" w:cs="仿宋_GB2312"/>
          <w:b/>
          <w:bCs/>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管理制度健全性：根据</w:t>
      </w:r>
      <w:r>
        <w:rPr>
          <w:rFonts w:hint="eastAsia" w:ascii="仿宋_GB2312" w:hAnsi="仿宋_GB2312" w:eastAsia="仿宋_GB2312" w:cs="仿宋_GB2312"/>
          <w:color w:val="auto"/>
          <w:sz w:val="32"/>
          <w:szCs w:val="32"/>
          <w:highlight w:val="none"/>
          <w:lang w:val="en-US" w:eastAsia="zh-CN"/>
        </w:rPr>
        <w:t>东湖区项目资金使用管理办法</w:t>
      </w:r>
      <w:r>
        <w:rPr>
          <w:rFonts w:hint="eastAsia" w:ascii="仿宋_GB2312" w:hAnsi="仿宋_GB2312" w:eastAsia="仿宋_GB2312" w:cs="仿宋_GB2312"/>
          <w:color w:val="auto"/>
          <w:sz w:val="32"/>
          <w:szCs w:val="32"/>
          <w:highlight w:val="none"/>
        </w:rPr>
        <w:t>的要求</w:t>
      </w:r>
      <w:r>
        <w:rPr>
          <w:rFonts w:hint="eastAsia" w:ascii="仿宋_GB2312" w:hAnsi="仿宋_GB2312" w:eastAsia="仿宋_GB2312" w:cs="仿宋_GB2312"/>
          <w:color w:val="auto"/>
          <w:sz w:val="32"/>
          <w:szCs w:val="32"/>
          <w:highlight w:val="none"/>
          <w:lang w:val="en-US" w:eastAsia="zh-CN"/>
        </w:rPr>
        <w:t>,以实报实销制度为标准,</w:t>
      </w:r>
      <w:r>
        <w:rPr>
          <w:rFonts w:hint="eastAsia" w:ascii="仿宋_GB2312" w:hAnsi="仿宋_GB2312" w:eastAsia="仿宋_GB2312" w:cs="仿宋_GB2312"/>
          <w:color w:val="auto"/>
          <w:sz w:val="32"/>
          <w:szCs w:val="32"/>
          <w:highlight w:val="none"/>
        </w:rPr>
        <w:t>进行业务规范管理。依据评分标准，该指标得</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分。</w:t>
      </w:r>
    </w:p>
    <w:p>
      <w:pPr>
        <w:pStyle w:val="10"/>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制度</w:t>
      </w:r>
      <w:r>
        <w:rPr>
          <w:rFonts w:hint="eastAsia" w:ascii="仿宋_GB2312" w:hAnsi="仿宋_GB2312" w:eastAsia="仿宋_GB2312" w:cs="仿宋_GB2312"/>
          <w:color w:val="auto"/>
          <w:sz w:val="32"/>
          <w:szCs w:val="32"/>
          <w:highlight w:val="none"/>
        </w:rPr>
        <w:t>执行有效性：</w:t>
      </w:r>
      <w:r>
        <w:rPr>
          <w:rFonts w:hint="eastAsia" w:ascii="仿宋_GB2312" w:hAnsi="仿宋_GB2312" w:eastAsia="仿宋_GB2312" w:cs="仿宋_GB2312"/>
          <w:color w:val="auto"/>
          <w:sz w:val="32"/>
          <w:szCs w:val="32"/>
          <w:highlight w:val="none"/>
          <w:lang w:val="en-US" w:eastAsia="zh-CN"/>
        </w:rPr>
        <w:t>本单位“无业人员独生子女父母奖励”项目统一管理，此项目</w:t>
      </w:r>
      <w:r>
        <w:rPr>
          <w:rFonts w:hint="eastAsia" w:ascii="仿宋_GB2312" w:hAnsi="仿宋_GB2312" w:eastAsia="仿宋_GB2312" w:cs="仿宋_GB2312"/>
          <w:color w:val="auto"/>
          <w:sz w:val="32"/>
          <w:szCs w:val="32"/>
          <w:highlight w:val="none"/>
        </w:rPr>
        <w:t>严格遵守，执行有效。依据评分标准，该指标得3分。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（三）项目产出情况</w:t>
      </w:r>
    </w:p>
    <w:p>
      <w:pPr>
        <w:pStyle w:val="12"/>
        <w:spacing w:line="360" w:lineRule="auto"/>
        <w:ind w:left="0" w:leftChars="0" w:firstLine="643"/>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val="en-US" w:eastAsia="zh-CN"/>
        </w:rPr>
        <w:t>产出</w:t>
      </w:r>
      <w:r>
        <w:rPr>
          <w:rFonts w:hint="eastAsia" w:ascii="仿宋_GB2312" w:hAnsi="仿宋_GB2312" w:eastAsia="仿宋_GB2312" w:cs="仿宋_GB2312"/>
          <w:b/>
          <w:bCs/>
          <w:color w:val="auto"/>
          <w:sz w:val="32"/>
          <w:szCs w:val="32"/>
          <w:highlight w:val="none"/>
        </w:rPr>
        <w:t>数量指标（10分）</w:t>
      </w:r>
      <w:r>
        <w:rPr>
          <w:rFonts w:ascii="宋体" w:hAnsi="宋体" w:eastAsia="宋体" w:cs="宋体"/>
          <w:sz w:val="24"/>
          <w:szCs w:val="24"/>
        </w:rPr>
        <w:br w:type="textWrapping"/>
      </w:r>
      <w:r>
        <w:rPr>
          <w:rFonts w:hint="eastAsia" w:ascii="仿宋_GB2312" w:hAnsi="仿宋_GB2312" w:eastAsia="仿宋_GB2312" w:cs="仿宋_GB2312"/>
          <w:color w:val="auto"/>
          <w:sz w:val="32"/>
          <w:szCs w:val="32"/>
          <w:highlight w:val="none"/>
          <w:lang w:val="en-US" w:eastAsia="zh-CN"/>
        </w:rPr>
        <w:t>发放户数=1户，</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lang w:val="en-US" w:eastAsia="zh-CN"/>
        </w:rPr>
        <w:t>评分10分</w:t>
      </w:r>
    </w:p>
    <w:p>
      <w:pPr>
        <w:spacing w:line="360" w:lineRule="auto"/>
        <w:ind w:firstLine="643" w:firstLineChars="20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2.产出</w:t>
      </w:r>
      <w:r>
        <w:rPr>
          <w:rFonts w:hint="eastAsia" w:ascii="仿宋_GB2312" w:hAnsi="仿宋_GB2312" w:eastAsia="仿宋_GB2312" w:cs="仿宋_GB2312"/>
          <w:b/>
          <w:bCs/>
          <w:color w:val="auto"/>
          <w:sz w:val="32"/>
          <w:szCs w:val="32"/>
          <w:highlight w:val="none"/>
        </w:rPr>
        <w:t>质量指标（10分）</w:t>
      </w:r>
      <w:r>
        <w:rPr>
          <w:rFonts w:hint="eastAsia" w:ascii="仿宋_GB2312" w:hAnsi="仿宋_GB2312" w:eastAsia="仿宋_GB2312" w:cs="仿宋_GB2312"/>
          <w:color w:val="auto"/>
          <w:kern w:val="0"/>
          <w:sz w:val="32"/>
          <w:szCs w:val="32"/>
          <w:highlight w:val="none"/>
          <w:lang w:val="en-US"/>
        </w:rPr>
        <w:br w:type="textWrapping"/>
      </w:r>
      <w:r>
        <w:rPr>
          <w:rFonts w:hint="eastAsia" w:ascii="仿宋_GB2312" w:hAnsi="仿宋_GB2312" w:eastAsia="仿宋_GB2312" w:cs="仿宋_GB2312"/>
          <w:color w:val="auto"/>
          <w:kern w:val="0"/>
          <w:sz w:val="32"/>
          <w:szCs w:val="32"/>
          <w:highlight w:val="none"/>
          <w:lang w:val="en-US"/>
        </w:rPr>
        <w:t>符合发放标准</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 xml:space="preserve">依据评分标准，得10分。 </w:t>
      </w:r>
    </w:p>
    <w:p>
      <w:pPr>
        <w:pStyle w:val="10"/>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3.产生</w:t>
      </w:r>
      <w:r>
        <w:rPr>
          <w:rFonts w:hint="eastAsia" w:ascii="仿宋_GB2312" w:hAnsi="仿宋_GB2312" w:eastAsia="仿宋_GB2312" w:cs="仿宋_GB2312"/>
          <w:b/>
          <w:bCs/>
          <w:color w:val="auto"/>
          <w:sz w:val="32"/>
          <w:szCs w:val="32"/>
          <w:highlight w:val="none"/>
        </w:rPr>
        <w:t>时效指标（</w:t>
      </w:r>
      <w:r>
        <w:rPr>
          <w:rFonts w:hint="eastAsia" w:ascii="仿宋_GB2312" w:hAnsi="仿宋_GB2312" w:eastAsia="仿宋_GB2312" w:cs="仿宋_GB2312"/>
          <w:b/>
          <w:bCs/>
          <w:color w:val="auto"/>
          <w:sz w:val="32"/>
          <w:szCs w:val="32"/>
          <w:highlight w:val="none"/>
          <w:lang w:val="en-US" w:eastAsia="zh-CN"/>
        </w:rPr>
        <w:t>10</w:t>
      </w:r>
      <w:r>
        <w:rPr>
          <w:rFonts w:hint="eastAsia" w:ascii="仿宋_GB2312" w:hAnsi="仿宋_GB2312" w:eastAsia="仿宋_GB2312" w:cs="仿宋_GB2312"/>
          <w:b/>
          <w:bCs/>
          <w:color w:val="auto"/>
          <w:sz w:val="32"/>
          <w:szCs w:val="32"/>
          <w:highlight w:val="none"/>
        </w:rPr>
        <w:t>分）</w:t>
      </w:r>
    </w:p>
    <w:p>
      <w:pPr>
        <w:keepNext w:val="0"/>
        <w:keepLines w:val="0"/>
        <w:pageBreakBefore w:val="0"/>
        <w:widowControl w:val="0"/>
        <w:kinsoku/>
        <w:wordWrap/>
        <w:overflowPunct/>
        <w:topLinePunct w:val="0"/>
        <w:autoSpaceDE/>
        <w:autoSpaceDN/>
        <w:bidi w:val="0"/>
        <w:adjustRightInd/>
        <w:snapToGrid/>
        <w:spacing w:line="560" w:lineRule="exact"/>
        <w:ind w:firstLine="320" w:firstLineChars="100"/>
        <w:textAlignment w:val="auto"/>
        <w:rPr>
          <w:rFonts w:hint="eastAsia" w:ascii="仿宋_GB2312" w:hAnsi="仿宋_GB2312" w:eastAsia="仿宋_GB2312" w:cs="仿宋_GB2312"/>
          <w:color w:val="auto"/>
          <w:kern w:val="0"/>
          <w:sz w:val="32"/>
          <w:szCs w:val="32"/>
          <w:highlight w:val="none"/>
          <w:lang w:val="en-US"/>
        </w:rPr>
      </w:pPr>
      <w:r>
        <w:rPr>
          <w:rFonts w:hint="eastAsia" w:ascii="仿宋_GB2312" w:hAnsi="仿宋_GB2312" w:eastAsia="仿宋_GB2312" w:cs="仿宋_GB2312"/>
          <w:color w:val="auto"/>
          <w:kern w:val="0"/>
          <w:sz w:val="32"/>
          <w:szCs w:val="32"/>
          <w:highlight w:val="none"/>
          <w:lang w:val="en-US"/>
        </w:rPr>
        <w:t>发放及时性</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kern w:val="0"/>
          <w:sz w:val="32"/>
          <w:szCs w:val="32"/>
          <w:highlight w:val="none"/>
          <w:lang w:val="en-US"/>
        </w:rPr>
        <w:t>依据评分标准，得10分。</w:t>
      </w:r>
    </w:p>
    <w:p>
      <w:pPr>
        <w:spacing w:line="360" w:lineRule="auto"/>
        <w:ind w:firstLine="643" w:firstLineChars="20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4.产出</w:t>
      </w:r>
      <w:r>
        <w:rPr>
          <w:rFonts w:hint="eastAsia" w:ascii="仿宋_GB2312" w:hAnsi="仿宋_GB2312" w:eastAsia="仿宋_GB2312" w:cs="仿宋_GB2312"/>
          <w:b/>
          <w:bCs/>
          <w:color w:val="auto"/>
          <w:sz w:val="32"/>
          <w:szCs w:val="32"/>
          <w:highlight w:val="none"/>
        </w:rPr>
        <w:t>成本</w:t>
      </w:r>
      <w:r>
        <w:rPr>
          <w:rFonts w:hint="eastAsia" w:ascii="仿宋_GB2312" w:hAnsi="仿宋_GB2312" w:eastAsia="仿宋_GB2312" w:cs="仿宋_GB2312"/>
          <w:b/>
          <w:bCs/>
          <w:color w:val="auto"/>
          <w:sz w:val="32"/>
          <w:szCs w:val="32"/>
          <w:highlight w:val="none"/>
          <w:lang w:val="en-US" w:eastAsia="zh-CN"/>
        </w:rPr>
        <w:t>指标</w:t>
      </w:r>
      <w:r>
        <w:rPr>
          <w:rFonts w:hint="eastAsia" w:ascii="仿宋_GB2312" w:hAnsi="仿宋_GB2312" w:eastAsia="仿宋_GB2312" w:cs="仿宋_GB2312"/>
          <w:b/>
          <w:bCs/>
          <w:color w:val="auto"/>
          <w:sz w:val="32"/>
          <w:szCs w:val="32"/>
          <w:highlight w:val="none"/>
        </w:rPr>
        <w:t>（10分）</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项目资金</w:t>
      </w:r>
      <w:r>
        <w:rPr>
          <w:rFonts w:hint="eastAsia" w:ascii="仿宋_GB2312" w:hAnsi="仿宋_GB2312" w:eastAsia="仿宋_GB2312" w:cs="仿宋_GB2312"/>
          <w:color w:val="auto"/>
          <w:sz w:val="32"/>
          <w:szCs w:val="32"/>
          <w:highlight w:val="none"/>
          <w:lang w:val="en-US" w:eastAsia="zh-CN"/>
        </w:rPr>
        <w:t>到位0.2万</w:t>
      </w:r>
      <w:r>
        <w:rPr>
          <w:rFonts w:hint="eastAsia" w:ascii="仿宋_GB2312" w:hAnsi="仿宋_GB2312" w:eastAsia="仿宋_GB2312" w:cs="仿宋_GB2312"/>
          <w:color w:val="auto"/>
          <w:sz w:val="32"/>
          <w:szCs w:val="32"/>
          <w:highlight w:val="none"/>
        </w:rPr>
        <w:t>，实际完成值为</w:t>
      </w:r>
      <w:r>
        <w:rPr>
          <w:rFonts w:hint="eastAsia" w:ascii="仿宋_GB2312" w:hAnsi="仿宋_GB2312" w:eastAsia="仿宋_GB2312" w:cs="仿宋_GB2312"/>
          <w:color w:val="auto"/>
          <w:sz w:val="32"/>
          <w:szCs w:val="32"/>
          <w:highlight w:val="none"/>
          <w:lang w:val="en-US" w:eastAsia="zh-CN"/>
        </w:rPr>
        <w:t>0.2万</w:t>
      </w:r>
      <w:r>
        <w:rPr>
          <w:rFonts w:hint="eastAsia" w:ascii="仿宋_GB2312" w:hAnsi="仿宋_GB2312" w:eastAsia="仿宋_GB2312" w:cs="仿宋_GB2312"/>
          <w:color w:val="auto"/>
          <w:sz w:val="32"/>
          <w:szCs w:val="32"/>
          <w:highlight w:val="none"/>
        </w:rPr>
        <w:t>元。</w:t>
      </w:r>
      <w:r>
        <w:rPr>
          <w:rFonts w:hint="eastAsia" w:ascii="仿宋_GB2312" w:hAnsi="仿宋_GB2312" w:eastAsia="仿宋_GB2312" w:cs="仿宋_GB2312"/>
          <w:color w:val="auto"/>
          <w:kern w:val="0"/>
          <w:sz w:val="32"/>
          <w:szCs w:val="32"/>
          <w:highlight w:val="none"/>
          <w:lang w:val="en-US" w:eastAsia="zh-CN"/>
        </w:rPr>
        <w:t>达标，</w:t>
      </w:r>
      <w:r>
        <w:rPr>
          <w:rFonts w:hint="eastAsia" w:ascii="仿宋_GB2312" w:hAnsi="仿宋_GB2312" w:eastAsia="仿宋_GB2312" w:cs="仿宋_GB2312"/>
          <w:color w:val="auto"/>
          <w:sz w:val="32"/>
          <w:szCs w:val="32"/>
          <w:highlight w:val="none"/>
        </w:rPr>
        <w:t>依据评分标准，得分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分。</w:t>
      </w:r>
    </w:p>
    <w:p>
      <w:pPr>
        <w:keepNext w:val="0"/>
        <w:keepLines w:val="0"/>
        <w:pageBreakBefore w:val="0"/>
        <w:kinsoku/>
        <w:wordWrap/>
        <w:overflowPunct/>
        <w:topLinePunct w:val="0"/>
        <w:autoSpaceDE/>
        <w:autoSpaceDN/>
        <w:bidi w:val="0"/>
        <w:adjustRightInd/>
        <w:spacing w:line="560" w:lineRule="exact"/>
        <w:ind w:firstLine="640" w:firstLineChars="200"/>
        <w:textAlignment w:val="auto"/>
        <w:outlineLvl w:val="0"/>
        <w:rPr>
          <w:rFonts w:hint="eastAsia" w:ascii="楷体_GB2312" w:hAnsi="楷体_GB2312" w:eastAsia="楷体_GB2312" w:cs="楷体_GB2312"/>
          <w:b w:val="0"/>
          <w:bCs w:val="0"/>
          <w:color w:val="auto"/>
          <w:sz w:val="32"/>
          <w:szCs w:val="32"/>
          <w:highlight w:val="none"/>
        </w:rPr>
      </w:pPr>
      <w:r>
        <w:rPr>
          <w:rFonts w:hint="eastAsia" w:ascii="楷体_GB2312" w:hAnsi="楷体_GB2312" w:eastAsia="楷体_GB2312" w:cs="楷体_GB2312"/>
          <w:b w:val="0"/>
          <w:bCs w:val="0"/>
          <w:color w:val="auto"/>
          <w:sz w:val="32"/>
          <w:szCs w:val="32"/>
          <w:highlight w:val="none"/>
        </w:rPr>
        <w:t>（四）项目效益情况。</w:t>
      </w:r>
    </w:p>
    <w:p>
      <w:pPr>
        <w:pStyle w:val="12"/>
        <w:spacing w:line="360" w:lineRule="auto"/>
        <w:ind w:left="0" w:leftChars="0" w:firstLine="643"/>
        <w:rPr>
          <w:rFonts w:hint="eastAsia" w:ascii="仿宋_GB2312" w:hAnsi="仿宋_GB2312" w:eastAsia="仿宋_GB2312" w:cs="仿宋_GB2312"/>
          <w:color w:val="auto"/>
          <w:kern w:val="0"/>
          <w:sz w:val="32"/>
          <w:szCs w:val="32"/>
          <w:highlight w:val="none"/>
          <w:lang w:val="en-US"/>
        </w:rPr>
      </w:pPr>
      <w:r>
        <w:rPr>
          <w:rFonts w:hint="eastAsia" w:ascii="仿宋_GB2312" w:hAnsi="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rPr>
        <w:t>社会效益（</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cs="仿宋_GB2312"/>
          <w:b/>
          <w:bCs/>
          <w:color w:val="auto"/>
          <w:sz w:val="32"/>
          <w:szCs w:val="32"/>
          <w:highlight w:val="none"/>
          <w:lang w:val="en-US" w:eastAsia="zh-CN"/>
        </w:rPr>
        <w:t>5</w:t>
      </w:r>
      <w:r>
        <w:rPr>
          <w:rFonts w:hint="eastAsia" w:ascii="仿宋_GB2312" w:hAnsi="仿宋_GB2312" w:eastAsia="仿宋_GB2312" w:cs="仿宋_GB2312"/>
          <w:b/>
          <w:bCs/>
          <w:color w:val="auto"/>
          <w:sz w:val="32"/>
          <w:szCs w:val="32"/>
          <w:highlight w:val="none"/>
        </w:rPr>
        <w:t>分）</w:t>
      </w:r>
      <w:r>
        <w:rPr>
          <w:rFonts w:ascii="宋体" w:hAnsi="宋体" w:eastAsia="宋体" w:cs="宋体"/>
          <w:sz w:val="24"/>
          <w:szCs w:val="24"/>
          <w:highlight w:val="none"/>
        </w:rPr>
        <w:br w:type="textWrapping"/>
      </w:r>
      <w:r>
        <w:rPr>
          <w:rFonts w:hint="eastAsia" w:ascii="仿宋_GB2312" w:hAnsi="仿宋_GB2312" w:eastAsia="仿宋_GB2312" w:cs="仿宋_GB2312"/>
          <w:color w:val="auto"/>
          <w:kern w:val="0"/>
          <w:sz w:val="32"/>
          <w:szCs w:val="32"/>
          <w:highlight w:val="none"/>
          <w:lang w:val="en-US"/>
        </w:rPr>
        <w:t>保障群众权益</w:t>
      </w:r>
      <w:r>
        <w:rPr>
          <w:rFonts w:hint="eastAsia" w:ascii="仿宋_GB2312" w:hAnsi="仿宋_GB2312" w:eastAsia="仿宋_GB2312" w:cs="仿宋_GB2312"/>
          <w:color w:val="auto"/>
          <w:kern w:val="0"/>
          <w:sz w:val="32"/>
          <w:szCs w:val="32"/>
          <w:highlight w:val="none"/>
          <w:lang w:val="en-US" w:eastAsia="zh-CN"/>
        </w:rPr>
        <w:t>为</w:t>
      </w:r>
      <w:r>
        <w:rPr>
          <w:rFonts w:hint="eastAsia" w:ascii="仿宋_GB2312" w:hAnsi="仿宋_GB2312" w:eastAsia="仿宋_GB2312" w:cs="仿宋_GB2312"/>
          <w:color w:val="auto"/>
          <w:kern w:val="0"/>
          <w:sz w:val="32"/>
          <w:szCs w:val="32"/>
          <w:highlight w:val="none"/>
          <w:lang w:val="en-US"/>
        </w:rPr>
        <w:t>基本达成目标</w:t>
      </w:r>
      <w:r>
        <w:rPr>
          <w:rFonts w:hint="eastAsia" w:ascii="仿宋_GB2312" w:hAnsi="仿宋_GB2312" w:eastAsia="仿宋_GB2312" w:cs="仿宋_GB2312"/>
          <w:color w:val="auto"/>
          <w:kern w:val="0"/>
          <w:sz w:val="32"/>
          <w:szCs w:val="32"/>
          <w:highlight w:val="none"/>
          <w:lang w:val="en-US" w:eastAsia="zh-CN"/>
        </w:rPr>
        <w:t>，</w:t>
      </w:r>
      <w:r>
        <w:rPr>
          <w:rFonts w:hint="eastAsia" w:ascii="仿宋_GB2312" w:hAnsi="仿宋_GB2312" w:eastAsia="仿宋_GB2312" w:cs="仿宋_GB2312"/>
          <w:color w:val="auto"/>
          <w:kern w:val="0"/>
          <w:sz w:val="32"/>
          <w:szCs w:val="32"/>
          <w:highlight w:val="none"/>
          <w:lang w:val="en-US"/>
        </w:rPr>
        <w:t>依据评分标准，得</w:t>
      </w:r>
      <w:r>
        <w:rPr>
          <w:rFonts w:hint="eastAsia" w:ascii="仿宋_GB2312" w:hAnsi="仿宋_GB2312" w:cs="仿宋_GB2312"/>
          <w:color w:val="auto"/>
          <w:kern w:val="0"/>
          <w:sz w:val="32"/>
          <w:szCs w:val="32"/>
          <w:highlight w:val="none"/>
          <w:lang w:val="en-US" w:eastAsia="zh-CN"/>
        </w:rPr>
        <w:t>13</w:t>
      </w:r>
      <w:r>
        <w:rPr>
          <w:rFonts w:hint="eastAsia" w:ascii="仿宋_GB2312" w:hAnsi="仿宋_GB2312" w:eastAsia="仿宋_GB2312" w:cs="仿宋_GB2312"/>
          <w:color w:val="auto"/>
          <w:kern w:val="0"/>
          <w:sz w:val="32"/>
          <w:szCs w:val="32"/>
          <w:highlight w:val="none"/>
          <w:lang w:val="en-US"/>
        </w:rPr>
        <w:t>分。</w:t>
      </w:r>
    </w:p>
    <w:p>
      <w:pPr>
        <w:pStyle w:val="10"/>
        <w:spacing w:line="360" w:lineRule="auto"/>
        <w:ind w:firstLine="643" w:firstLine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val="en-US" w:eastAsia="zh-CN"/>
        </w:rPr>
        <w:t>2.</w:t>
      </w:r>
      <w:r>
        <w:rPr>
          <w:rFonts w:hint="eastAsia" w:ascii="仿宋_GB2312" w:hAnsi="仿宋_GB2312" w:eastAsia="仿宋_GB2312" w:cs="仿宋_GB2312"/>
          <w:b/>
          <w:bCs/>
          <w:color w:val="auto"/>
          <w:sz w:val="32"/>
          <w:szCs w:val="32"/>
          <w:highlight w:val="none"/>
        </w:rPr>
        <w:t>可持续影响指标（</w:t>
      </w:r>
      <w:r>
        <w:rPr>
          <w:rFonts w:hint="eastAsia" w:ascii="仿宋_GB2312" w:hAnsi="仿宋_GB2312" w:eastAsia="仿宋_GB2312" w:cs="仿宋_GB2312"/>
          <w:b/>
          <w:bCs/>
          <w:color w:val="auto"/>
          <w:sz w:val="32"/>
          <w:szCs w:val="32"/>
          <w:highlight w:val="none"/>
          <w:lang w:val="en-US" w:eastAsia="zh-CN"/>
        </w:rPr>
        <w:t>15</w:t>
      </w:r>
      <w:r>
        <w:rPr>
          <w:rFonts w:hint="eastAsia" w:ascii="仿宋_GB2312" w:hAnsi="仿宋_GB2312" w:eastAsia="仿宋_GB2312" w:cs="仿宋_GB2312"/>
          <w:b/>
          <w:bCs/>
          <w:color w:val="auto"/>
          <w:sz w:val="32"/>
          <w:szCs w:val="32"/>
          <w:highlight w:val="none"/>
        </w:rPr>
        <w:t>分）</w:t>
      </w:r>
      <w:r>
        <w:rPr>
          <w:rFonts w:hint="eastAsia" w:ascii="仿宋_GB2312" w:hAnsi="仿宋_GB2312" w:eastAsia="仿宋_GB2312" w:cs="仿宋_GB2312"/>
          <w:color w:val="auto"/>
          <w:sz w:val="32"/>
          <w:szCs w:val="32"/>
          <w:highlight w:val="none"/>
          <w:lang w:val="en-US" w:eastAsia="zh-CN"/>
        </w:rPr>
        <w:br w:type="textWrapping"/>
      </w:r>
      <w:r>
        <w:rPr>
          <w:rFonts w:hint="eastAsia" w:ascii="仿宋_GB2312" w:hAnsi="仿宋_GB2312" w:eastAsia="仿宋_GB2312" w:cs="仿宋_GB2312"/>
          <w:color w:val="auto"/>
          <w:sz w:val="32"/>
          <w:szCs w:val="32"/>
          <w:highlight w:val="none"/>
          <w:lang w:val="en-US" w:eastAsia="zh-CN"/>
        </w:rPr>
        <w:t>基层党组织的凝聚力和战斗力及辖区居民文明素质提升情况基本达成目标，</w:t>
      </w:r>
      <w:r>
        <w:rPr>
          <w:rFonts w:hint="eastAsia" w:ascii="仿宋_GB2312" w:hAnsi="仿宋_GB2312" w:eastAsia="仿宋_GB2312" w:cs="仿宋_GB2312"/>
          <w:color w:val="auto"/>
          <w:sz w:val="32"/>
          <w:szCs w:val="32"/>
          <w:highlight w:val="none"/>
        </w:rPr>
        <w:t>依据评分标准，得</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rPr>
        <w:t>分。</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五、主要经验及做法、存在的问题及原因分析</w:t>
      </w:r>
    </w:p>
    <w:p>
      <w:pPr>
        <w:pStyle w:val="10"/>
        <w:spacing w:line="360" w:lineRule="auto"/>
        <w:ind w:firstLine="640" w:firstLineChars="200"/>
        <w:rPr>
          <w:rFonts w:hint="eastAsia" w:ascii="楷体_GB2312" w:hAnsi="楷体_GB2312" w:eastAsia="楷体_GB2312" w:cs="楷体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主要经验及做法</w:t>
      </w:r>
    </w:p>
    <w:p>
      <w:pPr>
        <w:pStyle w:val="4"/>
        <w:ind w:firstLine="640" w:firstLineChars="200"/>
        <w:rPr>
          <w:rFonts w:hint="eastAsia" w:ascii="仿宋_GB2312" w:hAnsi="仿宋_GB2312" w:eastAsia="仿宋_GB2312" w:cs="仿宋_GB2312"/>
          <w:b w:val="0"/>
          <w:color w:val="auto"/>
          <w:sz w:val="32"/>
          <w:szCs w:val="32"/>
          <w:highlight w:val="none"/>
          <w:lang w:val="en-US" w:eastAsia="zh-CN"/>
        </w:rPr>
      </w:pPr>
      <w:r>
        <w:rPr>
          <w:rFonts w:hint="eastAsia" w:ascii="仿宋_GB2312" w:hAnsi="仿宋_GB2312" w:eastAsia="仿宋_GB2312" w:cs="仿宋_GB2312"/>
          <w:b w:val="0"/>
          <w:color w:val="auto"/>
          <w:sz w:val="32"/>
          <w:szCs w:val="32"/>
          <w:highlight w:val="none"/>
        </w:rPr>
        <w:t>1.按照厉行节约、量入为出原则</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认真做好部门收支预算编制工作，做到收支平衡、不留缺口，做到保证重点、统筹兼顾，有效压缩和降低行政成本，合理安排经费，进一步提高预算编制的科学化、精细化水平。</w:t>
      </w:r>
    </w:p>
    <w:p>
      <w:pPr>
        <w:pStyle w:val="4"/>
        <w:ind w:firstLine="960" w:firstLineChars="300"/>
        <w:rPr>
          <w:rFonts w:hint="eastAsia" w:ascii="仿宋_GB2312" w:hAnsi="仿宋_GB2312" w:eastAsia="仿宋_GB2312" w:cs="仿宋_GB2312"/>
          <w:b w:val="0"/>
          <w:color w:val="auto"/>
          <w:sz w:val="32"/>
          <w:szCs w:val="32"/>
          <w:highlight w:val="none"/>
          <w:lang w:eastAsia="zh-CN"/>
        </w:rPr>
      </w:pPr>
      <w:r>
        <w:rPr>
          <w:rFonts w:hint="eastAsia" w:ascii="仿宋_GB2312" w:hAnsi="仿宋_GB2312" w:eastAsia="仿宋_GB2312" w:cs="仿宋_GB2312"/>
          <w:b w:val="0"/>
          <w:color w:val="auto"/>
          <w:sz w:val="32"/>
          <w:szCs w:val="32"/>
          <w:highlight w:val="none"/>
        </w:rPr>
        <w:t>2.监督关卡前移，充分发挥财务监督职能</w:t>
      </w:r>
      <w:r>
        <w:rPr>
          <w:rFonts w:hint="eastAsia" w:ascii="仿宋_GB2312" w:hAnsi="仿宋_GB2312" w:eastAsia="仿宋_GB2312" w:cs="仿宋_GB2312"/>
          <w:b w:val="0"/>
          <w:color w:val="auto"/>
          <w:sz w:val="32"/>
          <w:szCs w:val="32"/>
          <w:highlight w:val="none"/>
          <w:lang w:eastAsia="zh-CN"/>
        </w:rPr>
        <w:t>。</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严格把关，进一步明确财务制度，做到经济业务合规性和合法性，按照财经法规和财务制度报账，全面审核各类原始凭证，保证其真实性、合法性与完整性，避免盲目性和无计划性使用公用经费。不断规范经济业务行为，完善财务审 批手续，规范财务报销程序，促进对财务活动重要环节的控制和管理，逐步推进财务管理规范化。</w:t>
      </w:r>
    </w:p>
    <w:p>
      <w:pPr>
        <w:pStyle w:val="10"/>
        <w:spacing w:line="360" w:lineRule="auto"/>
        <w:ind w:firstLine="640" w:firstLineChars="20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（二）存在的问题及原因分析</w:t>
      </w:r>
    </w:p>
    <w:p>
      <w:pPr>
        <w:pStyle w:val="4"/>
        <w:ind w:firstLine="640" w:firstLineChars="200"/>
        <w:rPr>
          <w:rFonts w:hint="eastAsia" w:ascii="仿宋_GB2312" w:hAnsi="仿宋_GB2312" w:eastAsia="仿宋_GB2312" w:cs="仿宋_GB2312"/>
          <w:b w:val="0"/>
          <w:color w:val="auto"/>
          <w:sz w:val="32"/>
          <w:szCs w:val="32"/>
          <w:highlight w:val="none"/>
        </w:rPr>
      </w:pPr>
      <w:r>
        <w:rPr>
          <w:rFonts w:hint="eastAsia" w:ascii="仿宋_GB2312" w:hAnsi="仿宋_GB2312" w:eastAsia="仿宋_GB2312" w:cs="仿宋_GB2312"/>
          <w:b w:val="0"/>
          <w:color w:val="auto"/>
          <w:sz w:val="32"/>
          <w:szCs w:val="32"/>
          <w:highlight w:val="none"/>
        </w:rPr>
        <w:t>受单位业务人员专业能力所限，需进一步加强绩效评价能力建设，充分发挥绩效评价以评促管效能，切实提高绩效意识和财政资金使用效益。</w:t>
      </w:r>
    </w:p>
    <w:p>
      <w:pPr>
        <w:pStyle w:val="10"/>
        <w:spacing w:line="360" w:lineRule="auto"/>
        <w:ind w:firstLine="643" w:firstLineChars="200"/>
        <w:rPr>
          <w:rFonts w:hint="eastAsia" w:ascii="黑体" w:hAnsi="黑体" w:eastAsia="黑体" w:cs="黑体"/>
          <w:b/>
          <w:bCs/>
          <w:color w:val="auto"/>
          <w:sz w:val="32"/>
          <w:szCs w:val="32"/>
          <w:highlight w:val="none"/>
        </w:rPr>
      </w:pPr>
      <w:r>
        <w:rPr>
          <w:rFonts w:hint="eastAsia" w:ascii="黑体" w:hAnsi="黑体" w:eastAsia="黑体" w:cs="黑体"/>
          <w:b/>
          <w:bCs/>
          <w:color w:val="auto"/>
          <w:sz w:val="32"/>
          <w:szCs w:val="32"/>
          <w:highlight w:val="none"/>
        </w:rPr>
        <w:t>六、有关建议</w:t>
      </w:r>
    </w:p>
    <w:p>
      <w:pPr>
        <w:spacing w:line="360" w:lineRule="auto"/>
        <w:ind w:firstLine="640" w:firstLineChars="200"/>
        <w:rPr>
          <w:rFonts w:hint="eastAsia" w:ascii="仿宋_GB2312" w:hAnsi="仿宋_GB2312" w:eastAsia="仿宋_GB2312" w:cs="仿宋_GB2312"/>
          <w:b w:val="0"/>
          <w:color w:val="auto"/>
          <w:kern w:val="2"/>
          <w:sz w:val="32"/>
          <w:szCs w:val="32"/>
          <w:highlight w:val="none"/>
          <w:lang w:val="en-US" w:eastAsia="zh-CN" w:bidi="ar-SA"/>
        </w:rPr>
      </w:pPr>
      <w:r>
        <w:rPr>
          <w:rFonts w:hint="eastAsia" w:ascii="仿宋_GB2312" w:hAnsi="仿宋_GB2312" w:eastAsia="仿宋_GB2312" w:cs="仿宋_GB2312"/>
          <w:b w:val="0"/>
          <w:color w:val="auto"/>
          <w:kern w:val="2"/>
          <w:sz w:val="32"/>
          <w:szCs w:val="32"/>
          <w:highlight w:val="none"/>
          <w:lang w:val="en-US" w:eastAsia="zh-CN" w:bidi="ar-SA"/>
        </w:rPr>
        <w:t>强化项目资金管理，提高资金使用率。加强项目资金日常监督管理，从项目申报、事中监管、事后评价着手，完善项目资金全项目、全资金、全流程的全面监督和管理。</w:t>
      </w:r>
    </w:p>
    <w:p>
      <w:pPr>
        <w:spacing w:line="360" w:lineRule="auto"/>
        <w:ind w:firstLine="640" w:firstLineChars="200"/>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七、其他需要说明的问题</w:t>
      </w:r>
    </w:p>
    <w:p>
      <w:pPr>
        <w:spacing w:line="360" w:lineRule="auto"/>
        <w:ind w:firstLine="640" w:firstLineChars="200"/>
        <w:rPr>
          <w:rFonts w:hint="eastAsia" w:ascii="仿宋_GB2312" w:hAnsi="仿宋_GB2312" w:eastAsia="仿宋_GB2312" w:cs="仿宋_GB2312"/>
          <w:color w:val="auto"/>
          <w:sz w:val="32"/>
          <w:szCs w:val="32"/>
          <w:highlight w:val="none"/>
        </w:rPr>
      </w:pPr>
      <w:r>
        <w:rPr>
          <w:rFonts w:hint="eastAsia" w:ascii="黑体" w:hAnsi="黑体" w:eastAsia="黑体" w:cs="黑体"/>
          <w:color w:val="auto"/>
          <w:sz w:val="32"/>
          <w:szCs w:val="32"/>
          <w:highlight w:val="none"/>
          <w:lang w:val="en-US" w:eastAsia="zh-CN"/>
        </w:rPr>
        <w:t>无</w:t>
      </w:r>
    </w:p>
    <w:sectPr>
      <w:headerReference r:id="rId3" w:type="default"/>
      <w:footerReference r:id="rId4"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spacing w:line="20"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8C44B78"/>
    <w:multiLevelType w:val="singleLevel"/>
    <w:tmpl w:val="98C44B78"/>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FiZTYxMWExODJiNTI0NjVmMmQ3YTNkMDVjOGE4YzQifQ=="/>
  </w:docVars>
  <w:rsids>
    <w:rsidRoot w:val="00C05BA1"/>
    <w:rsid w:val="00184C5E"/>
    <w:rsid w:val="00326B15"/>
    <w:rsid w:val="0046087A"/>
    <w:rsid w:val="006C3EBE"/>
    <w:rsid w:val="00C05BA1"/>
    <w:rsid w:val="018F2A41"/>
    <w:rsid w:val="01FB2325"/>
    <w:rsid w:val="023A2E4D"/>
    <w:rsid w:val="02477318"/>
    <w:rsid w:val="02A93B2F"/>
    <w:rsid w:val="02DC57FB"/>
    <w:rsid w:val="03004097"/>
    <w:rsid w:val="03483348"/>
    <w:rsid w:val="03597303"/>
    <w:rsid w:val="03EC0177"/>
    <w:rsid w:val="03FA2317"/>
    <w:rsid w:val="040E769E"/>
    <w:rsid w:val="0414147C"/>
    <w:rsid w:val="043F299D"/>
    <w:rsid w:val="044955CA"/>
    <w:rsid w:val="044E2BE0"/>
    <w:rsid w:val="04D07A99"/>
    <w:rsid w:val="04E951E7"/>
    <w:rsid w:val="05137986"/>
    <w:rsid w:val="05D13C9E"/>
    <w:rsid w:val="05EF03F3"/>
    <w:rsid w:val="05F5633C"/>
    <w:rsid w:val="065344DE"/>
    <w:rsid w:val="0658150A"/>
    <w:rsid w:val="07EC2E20"/>
    <w:rsid w:val="08585DDB"/>
    <w:rsid w:val="086C5D2B"/>
    <w:rsid w:val="0902043D"/>
    <w:rsid w:val="099A0675"/>
    <w:rsid w:val="0A172EE2"/>
    <w:rsid w:val="0A2A69E8"/>
    <w:rsid w:val="0A5470C9"/>
    <w:rsid w:val="0A7965AE"/>
    <w:rsid w:val="0B275F39"/>
    <w:rsid w:val="0B52745A"/>
    <w:rsid w:val="0B9C6927"/>
    <w:rsid w:val="0C4641CD"/>
    <w:rsid w:val="0D2E35AF"/>
    <w:rsid w:val="0D511890"/>
    <w:rsid w:val="0D8E229F"/>
    <w:rsid w:val="0DC573BC"/>
    <w:rsid w:val="0DEB1C5C"/>
    <w:rsid w:val="0E0B7D94"/>
    <w:rsid w:val="0E25520E"/>
    <w:rsid w:val="0E286250"/>
    <w:rsid w:val="0E8A6967"/>
    <w:rsid w:val="0EA93835"/>
    <w:rsid w:val="0F1D38DB"/>
    <w:rsid w:val="0F46112D"/>
    <w:rsid w:val="0F9A7933"/>
    <w:rsid w:val="10DB1C9F"/>
    <w:rsid w:val="11160D04"/>
    <w:rsid w:val="117B6FDE"/>
    <w:rsid w:val="11AB1672"/>
    <w:rsid w:val="12443874"/>
    <w:rsid w:val="12445F5B"/>
    <w:rsid w:val="13266183"/>
    <w:rsid w:val="13A72EEF"/>
    <w:rsid w:val="144B2C98"/>
    <w:rsid w:val="14EF1875"/>
    <w:rsid w:val="15131422"/>
    <w:rsid w:val="16F5338F"/>
    <w:rsid w:val="173C1F7C"/>
    <w:rsid w:val="175A0C63"/>
    <w:rsid w:val="175D0DC0"/>
    <w:rsid w:val="19D83AF9"/>
    <w:rsid w:val="1A2F0966"/>
    <w:rsid w:val="1A4D082F"/>
    <w:rsid w:val="1A606D71"/>
    <w:rsid w:val="1A644AB4"/>
    <w:rsid w:val="1AD250C0"/>
    <w:rsid w:val="1B157B5C"/>
    <w:rsid w:val="1BEA548C"/>
    <w:rsid w:val="1C9A47BD"/>
    <w:rsid w:val="1D483EB2"/>
    <w:rsid w:val="1D5030CD"/>
    <w:rsid w:val="1D7B1D63"/>
    <w:rsid w:val="1E0068A1"/>
    <w:rsid w:val="1E39096C"/>
    <w:rsid w:val="1E6F1C79"/>
    <w:rsid w:val="1F426157"/>
    <w:rsid w:val="1F8B688A"/>
    <w:rsid w:val="208A4B48"/>
    <w:rsid w:val="211B7E72"/>
    <w:rsid w:val="21B75E11"/>
    <w:rsid w:val="21C916A0"/>
    <w:rsid w:val="22025A4F"/>
    <w:rsid w:val="225C4425"/>
    <w:rsid w:val="22703BBB"/>
    <w:rsid w:val="22F34C27"/>
    <w:rsid w:val="236478D2"/>
    <w:rsid w:val="239E0527"/>
    <w:rsid w:val="23CB003F"/>
    <w:rsid w:val="23CF0B19"/>
    <w:rsid w:val="24033901"/>
    <w:rsid w:val="242B4894"/>
    <w:rsid w:val="244C69C1"/>
    <w:rsid w:val="2455551E"/>
    <w:rsid w:val="24B86128"/>
    <w:rsid w:val="25341526"/>
    <w:rsid w:val="259F7550"/>
    <w:rsid w:val="25D16D75"/>
    <w:rsid w:val="260F621B"/>
    <w:rsid w:val="26751DF6"/>
    <w:rsid w:val="271909D4"/>
    <w:rsid w:val="281A2C55"/>
    <w:rsid w:val="29B65CF7"/>
    <w:rsid w:val="29EE7EF6"/>
    <w:rsid w:val="2ABD1FE8"/>
    <w:rsid w:val="2AC35764"/>
    <w:rsid w:val="2ADB2B70"/>
    <w:rsid w:val="2AEB3B6B"/>
    <w:rsid w:val="2B004385"/>
    <w:rsid w:val="2B2F4C6A"/>
    <w:rsid w:val="2B9D7E25"/>
    <w:rsid w:val="2BB807BB"/>
    <w:rsid w:val="2BBF484B"/>
    <w:rsid w:val="2BEF7F55"/>
    <w:rsid w:val="2CAD7CF6"/>
    <w:rsid w:val="2CC500C4"/>
    <w:rsid w:val="2CE13D42"/>
    <w:rsid w:val="2DAA4A7C"/>
    <w:rsid w:val="2DB651CE"/>
    <w:rsid w:val="2E187C37"/>
    <w:rsid w:val="2E3837C9"/>
    <w:rsid w:val="2E9F2F97"/>
    <w:rsid w:val="2F3E7229"/>
    <w:rsid w:val="2FC50C5B"/>
    <w:rsid w:val="300E30A0"/>
    <w:rsid w:val="308B0B94"/>
    <w:rsid w:val="30C27F86"/>
    <w:rsid w:val="30F717EE"/>
    <w:rsid w:val="31466869"/>
    <w:rsid w:val="314B1BB3"/>
    <w:rsid w:val="31C14142"/>
    <w:rsid w:val="32A94EBB"/>
    <w:rsid w:val="32F472C6"/>
    <w:rsid w:val="333675CB"/>
    <w:rsid w:val="33813B85"/>
    <w:rsid w:val="34956489"/>
    <w:rsid w:val="34CE54F3"/>
    <w:rsid w:val="352A3E47"/>
    <w:rsid w:val="355D42C5"/>
    <w:rsid w:val="35610116"/>
    <w:rsid w:val="3586192A"/>
    <w:rsid w:val="35B53FBD"/>
    <w:rsid w:val="35EA13E5"/>
    <w:rsid w:val="360C0B3D"/>
    <w:rsid w:val="368A369C"/>
    <w:rsid w:val="373D3AB5"/>
    <w:rsid w:val="375D2B5F"/>
    <w:rsid w:val="37DC1CD5"/>
    <w:rsid w:val="39030CF9"/>
    <w:rsid w:val="393A4F06"/>
    <w:rsid w:val="39873EC3"/>
    <w:rsid w:val="399137B5"/>
    <w:rsid w:val="39970D4E"/>
    <w:rsid w:val="3A137505"/>
    <w:rsid w:val="3A6C5593"/>
    <w:rsid w:val="3ACE7FFB"/>
    <w:rsid w:val="3B44206B"/>
    <w:rsid w:val="3B820DE6"/>
    <w:rsid w:val="3BBD4BA0"/>
    <w:rsid w:val="3D346110"/>
    <w:rsid w:val="3D4D1A1C"/>
    <w:rsid w:val="3D96660D"/>
    <w:rsid w:val="3E3207F4"/>
    <w:rsid w:val="3E9C5D1B"/>
    <w:rsid w:val="3EDF3E59"/>
    <w:rsid w:val="3F236EEC"/>
    <w:rsid w:val="3F583BD9"/>
    <w:rsid w:val="3F724CCD"/>
    <w:rsid w:val="3FD506BF"/>
    <w:rsid w:val="40556AC9"/>
    <w:rsid w:val="40827192"/>
    <w:rsid w:val="409A272E"/>
    <w:rsid w:val="40EB11DB"/>
    <w:rsid w:val="40F40090"/>
    <w:rsid w:val="413726AF"/>
    <w:rsid w:val="41626179"/>
    <w:rsid w:val="42064F0C"/>
    <w:rsid w:val="428C60A6"/>
    <w:rsid w:val="43571C4A"/>
    <w:rsid w:val="43BE6733"/>
    <w:rsid w:val="44A75419"/>
    <w:rsid w:val="451F2D58"/>
    <w:rsid w:val="45555D50"/>
    <w:rsid w:val="455B1991"/>
    <w:rsid w:val="45965BB9"/>
    <w:rsid w:val="45D73ADC"/>
    <w:rsid w:val="460078DF"/>
    <w:rsid w:val="46E75FA1"/>
    <w:rsid w:val="473D3E13"/>
    <w:rsid w:val="474358CD"/>
    <w:rsid w:val="47FB1024"/>
    <w:rsid w:val="487D6BBD"/>
    <w:rsid w:val="490177EE"/>
    <w:rsid w:val="4AA04DE4"/>
    <w:rsid w:val="4B043919"/>
    <w:rsid w:val="4B2B2900"/>
    <w:rsid w:val="4B49547C"/>
    <w:rsid w:val="4B594A85"/>
    <w:rsid w:val="4BB9615E"/>
    <w:rsid w:val="4C0E7871"/>
    <w:rsid w:val="4CA20751"/>
    <w:rsid w:val="4CEB427D"/>
    <w:rsid w:val="4CFA2A94"/>
    <w:rsid w:val="4D151ABA"/>
    <w:rsid w:val="4D2A6BE7"/>
    <w:rsid w:val="4DB12E65"/>
    <w:rsid w:val="4DB2730D"/>
    <w:rsid w:val="4DBF1A26"/>
    <w:rsid w:val="4E290021"/>
    <w:rsid w:val="4E3A43C4"/>
    <w:rsid w:val="4E8C7B5A"/>
    <w:rsid w:val="4EEC4CDB"/>
    <w:rsid w:val="4F4F0B87"/>
    <w:rsid w:val="4F5543EF"/>
    <w:rsid w:val="4F947DF8"/>
    <w:rsid w:val="4FA63B31"/>
    <w:rsid w:val="4FE15C83"/>
    <w:rsid w:val="50100316"/>
    <w:rsid w:val="502B148B"/>
    <w:rsid w:val="505F5AEB"/>
    <w:rsid w:val="507F63E0"/>
    <w:rsid w:val="50AF7B2F"/>
    <w:rsid w:val="51257DF2"/>
    <w:rsid w:val="518664E6"/>
    <w:rsid w:val="51E7154B"/>
    <w:rsid w:val="526B217C"/>
    <w:rsid w:val="52800586"/>
    <w:rsid w:val="52EC2B8F"/>
    <w:rsid w:val="52FC500C"/>
    <w:rsid w:val="536335DE"/>
    <w:rsid w:val="537B019D"/>
    <w:rsid w:val="539574B0"/>
    <w:rsid w:val="545033D7"/>
    <w:rsid w:val="54DF6268"/>
    <w:rsid w:val="55061CE8"/>
    <w:rsid w:val="56A30136"/>
    <w:rsid w:val="56CC39F2"/>
    <w:rsid w:val="56FF2E93"/>
    <w:rsid w:val="57684EDC"/>
    <w:rsid w:val="57B37A5F"/>
    <w:rsid w:val="57BB319C"/>
    <w:rsid w:val="57D936E4"/>
    <w:rsid w:val="57F55AE4"/>
    <w:rsid w:val="57F612F5"/>
    <w:rsid w:val="58676BBF"/>
    <w:rsid w:val="58E42340"/>
    <w:rsid w:val="58E97957"/>
    <w:rsid w:val="594828CF"/>
    <w:rsid w:val="5A082425"/>
    <w:rsid w:val="5A1D167E"/>
    <w:rsid w:val="5A483350"/>
    <w:rsid w:val="5A5448AB"/>
    <w:rsid w:val="5AAB5A01"/>
    <w:rsid w:val="5ACF0CB4"/>
    <w:rsid w:val="5B1E422F"/>
    <w:rsid w:val="5B711492"/>
    <w:rsid w:val="5B953ABD"/>
    <w:rsid w:val="5B9E0ECC"/>
    <w:rsid w:val="5D107BA8"/>
    <w:rsid w:val="5D292A17"/>
    <w:rsid w:val="5D8A795A"/>
    <w:rsid w:val="5E7978E3"/>
    <w:rsid w:val="5EFF4FC8"/>
    <w:rsid w:val="5F9105FD"/>
    <w:rsid w:val="5FE4097E"/>
    <w:rsid w:val="604458CE"/>
    <w:rsid w:val="604C539B"/>
    <w:rsid w:val="60C07B37"/>
    <w:rsid w:val="60FD6695"/>
    <w:rsid w:val="618446C0"/>
    <w:rsid w:val="619D5782"/>
    <w:rsid w:val="61DE0274"/>
    <w:rsid w:val="623C07FC"/>
    <w:rsid w:val="62933A85"/>
    <w:rsid w:val="62A52B40"/>
    <w:rsid w:val="64616CD9"/>
    <w:rsid w:val="64B65B88"/>
    <w:rsid w:val="64CD45D0"/>
    <w:rsid w:val="64EC1BB0"/>
    <w:rsid w:val="6503698F"/>
    <w:rsid w:val="650E7457"/>
    <w:rsid w:val="656767D3"/>
    <w:rsid w:val="65BD4645"/>
    <w:rsid w:val="6780592A"/>
    <w:rsid w:val="67BB4BB4"/>
    <w:rsid w:val="67FA1B80"/>
    <w:rsid w:val="68D92CCD"/>
    <w:rsid w:val="69E93C5A"/>
    <w:rsid w:val="6A4A3D45"/>
    <w:rsid w:val="6A746532"/>
    <w:rsid w:val="6A890F99"/>
    <w:rsid w:val="6B7D19DD"/>
    <w:rsid w:val="6BAC3191"/>
    <w:rsid w:val="6BB81B36"/>
    <w:rsid w:val="6C7E2D75"/>
    <w:rsid w:val="6C975BF0"/>
    <w:rsid w:val="6D951507"/>
    <w:rsid w:val="6DC45080"/>
    <w:rsid w:val="6EF966EE"/>
    <w:rsid w:val="6F352DF4"/>
    <w:rsid w:val="6F3846FB"/>
    <w:rsid w:val="702C6A17"/>
    <w:rsid w:val="70C04A83"/>
    <w:rsid w:val="70ED4030"/>
    <w:rsid w:val="70FA674D"/>
    <w:rsid w:val="71122145"/>
    <w:rsid w:val="71A1306D"/>
    <w:rsid w:val="71D15700"/>
    <w:rsid w:val="724A3704"/>
    <w:rsid w:val="725E4ABA"/>
    <w:rsid w:val="72744C18"/>
    <w:rsid w:val="72D0364E"/>
    <w:rsid w:val="730B69EF"/>
    <w:rsid w:val="733F48EB"/>
    <w:rsid w:val="739500E1"/>
    <w:rsid w:val="73DC65DE"/>
    <w:rsid w:val="73F76F74"/>
    <w:rsid w:val="753D5927"/>
    <w:rsid w:val="75A03DE4"/>
    <w:rsid w:val="76E25746"/>
    <w:rsid w:val="76FC0093"/>
    <w:rsid w:val="77043E82"/>
    <w:rsid w:val="77367A6F"/>
    <w:rsid w:val="77B92EBE"/>
    <w:rsid w:val="77CE07D5"/>
    <w:rsid w:val="782A0E50"/>
    <w:rsid w:val="7961530E"/>
    <w:rsid w:val="79627149"/>
    <w:rsid w:val="79C37EE4"/>
    <w:rsid w:val="7A607BC4"/>
    <w:rsid w:val="7A9C2623"/>
    <w:rsid w:val="7AE62031"/>
    <w:rsid w:val="7B1D3764"/>
    <w:rsid w:val="7B43191D"/>
    <w:rsid w:val="7B7C7AD5"/>
    <w:rsid w:val="7B902188"/>
    <w:rsid w:val="7D092A55"/>
    <w:rsid w:val="7D19020A"/>
    <w:rsid w:val="7D7B49FF"/>
    <w:rsid w:val="7DBF0B02"/>
    <w:rsid w:val="7DD06266"/>
    <w:rsid w:val="7E322306"/>
    <w:rsid w:val="7E857014"/>
    <w:rsid w:val="7EAB3DC4"/>
    <w:rsid w:val="7EC14D4E"/>
    <w:rsid w:val="7FA610A8"/>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lang w:val="en-US" w:eastAsia="zh-CN" w:bidi="ar-SA"/>
    </w:rPr>
  </w:style>
  <w:style w:type="paragraph" w:styleId="2">
    <w:name w:val="heading 3"/>
    <w:basedOn w:val="1"/>
    <w:next w:val="1"/>
    <w:autoRedefine/>
    <w:qFormat/>
    <w:uiPriority w:val="0"/>
    <w:pPr>
      <w:keepNext/>
      <w:keepLines/>
      <w:spacing w:before="260" w:after="260" w:line="413" w:lineRule="auto"/>
      <w:outlineLvl w:val="2"/>
    </w:pPr>
    <w:rPr>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caption"/>
    <w:basedOn w:val="1"/>
    <w:next w:val="1"/>
    <w:autoRedefine/>
    <w:qFormat/>
    <w:uiPriority w:val="0"/>
    <w:rPr>
      <w:rFonts w:ascii="Arial" w:hAnsi="Arial" w:eastAsia="黑体"/>
      <w:sz w:val="20"/>
    </w:rPr>
  </w:style>
  <w:style w:type="paragraph" w:styleId="4">
    <w:name w:val="Body Text"/>
    <w:basedOn w:val="1"/>
    <w:autoRedefine/>
    <w:qFormat/>
    <w:uiPriority w:val="0"/>
    <w:rPr>
      <w:b/>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 w:type="paragraph" w:styleId="7">
    <w:name w:val="Body Text First Indent"/>
    <w:basedOn w:val="4"/>
    <w:next w:val="1"/>
    <w:autoRedefine/>
    <w:unhideWhenUsed/>
    <w:qFormat/>
    <w:uiPriority w:val="0"/>
    <w:pPr>
      <w:spacing w:line="560" w:lineRule="exact"/>
      <w:ind w:firstLine="420" w:firstLineChars="100"/>
    </w:pPr>
    <w:rPr>
      <w:rFonts w:ascii="Times New Roman" w:hAnsi="Times New Roman" w:eastAsia="仿宋_GB2312" w:cs="Times New Roman"/>
      <w:sz w:val="32"/>
      <w:szCs w:val="24"/>
    </w:rPr>
  </w:style>
  <w:style w:type="paragraph" w:customStyle="1" w:styleId="10">
    <w:name w:val="纯文本1"/>
    <w:basedOn w:val="1"/>
    <w:autoRedefine/>
    <w:qFormat/>
    <w:uiPriority w:val="0"/>
    <w:rPr>
      <w:rFonts w:ascii="宋体" w:hAnsi="Courier New" w:cs="Courier New"/>
      <w:szCs w:val="21"/>
    </w:rPr>
  </w:style>
  <w:style w:type="paragraph" w:customStyle="1" w:styleId="11">
    <w:name w:val="普通(网站)1"/>
    <w:basedOn w:val="1"/>
    <w:autoRedefine/>
    <w:qFormat/>
    <w:uiPriority w:val="0"/>
    <w:pPr>
      <w:spacing w:beforeAutospacing="1" w:afterAutospacing="1"/>
      <w:jc w:val="left"/>
    </w:pPr>
    <w:rPr>
      <w:kern w:val="0"/>
      <w:sz w:val="24"/>
    </w:rPr>
  </w:style>
  <w:style w:type="paragraph" w:customStyle="1" w:styleId="12">
    <w:name w:val="正文首行缩进 21"/>
    <w:basedOn w:val="1"/>
    <w:autoRedefine/>
    <w:qFormat/>
    <w:uiPriority w:val="0"/>
    <w:pPr>
      <w:ind w:left="420" w:leftChars="200" w:firstLine="420" w:firstLineChars="200"/>
    </w:pPr>
    <w:rPr>
      <w:rFonts w:ascii="Times New Roman" w:hAnsi="Times New Roman" w:eastAsia="仿宋_GB2312"/>
      <w:sz w:val="30"/>
      <w:szCs w:val="30"/>
    </w:rPr>
  </w:style>
  <w:style w:type="paragraph" w:customStyle="1" w:styleId="13">
    <w:name w:val="Body Text First Indent 21"/>
    <w:autoRedefine/>
    <w:qFormat/>
    <w:uiPriority w:val="0"/>
    <w:pPr>
      <w:widowControl w:val="0"/>
      <w:ind w:left="420" w:firstLine="210"/>
      <w:jc w:val="both"/>
    </w:pPr>
    <w:rPr>
      <w:rFonts w:ascii="Calibri" w:hAnsi="Calibri" w:eastAsia="Times New Roman" w:cs="Calibri"/>
      <w:color w:val="000000"/>
      <w:kern w:val="2"/>
      <w:sz w:val="21"/>
      <w:szCs w:val="21"/>
      <w:lang w:val="en-US" w:eastAsia="zh-CN" w:bidi="ar-SA"/>
    </w:rPr>
  </w:style>
  <w:style w:type="paragraph" w:customStyle="1" w:styleId="14">
    <w:name w:val="列出段落1"/>
    <w:basedOn w:val="1"/>
    <w:autoRedefine/>
    <w:qFormat/>
    <w:uiPriority w:val="0"/>
    <w:pPr>
      <w:ind w:firstLine="420" w:firstLineChars="200"/>
    </w:pPr>
  </w:style>
  <w:style w:type="paragraph" w:customStyle="1" w:styleId="15">
    <w:name w:val="无间隔1"/>
    <w:autoRedefine/>
    <w:qFormat/>
    <w:uiPriority w:val="0"/>
    <w:pPr>
      <w:adjustRightInd w:val="0"/>
      <w:snapToGrid w:val="0"/>
    </w:pPr>
    <w:rPr>
      <w:rFonts w:ascii="Tahoma" w:hAnsi="Tahoma" w:eastAsia="微软雅黑" w:cs="Times New Roman"/>
      <w:sz w:val="22"/>
      <w:szCs w:val="22"/>
      <w:lang w:val="en-US" w:eastAsia="zh-CN" w:bidi="ar-SA"/>
    </w:rPr>
  </w:style>
  <w:style w:type="paragraph" w:customStyle="1" w:styleId="16">
    <w:name w:val="纯文本11"/>
    <w:basedOn w:val="1"/>
    <w:autoRedefine/>
    <w:qFormat/>
    <w:uiPriority w:val="0"/>
    <w:rPr>
      <w:rFonts w:hAnsi="Courier New" w:cs="Courier New"/>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3848</Words>
  <Characters>4028</Characters>
  <Lines>37</Lines>
  <Paragraphs>10</Paragraphs>
  <TotalTime>1</TotalTime>
  <ScaleCrop>false</ScaleCrop>
  <LinksUpToDate>false</LinksUpToDate>
  <CharactersWithSpaces>4051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2021-03-25T19:27:00Z</dcterms:created>
  <dc:creator>Aallot</dc:creator>
  <cp:lastModifiedBy>徐斯佳</cp:lastModifiedBy>
  <cp:lastPrinted>2024-05-09T07:06:00Z</cp:lastPrinted>
  <dcterms:modified xsi:type="dcterms:W3CDTF">2026-04-30T08:34:43Z</dcterms:modified>
  <dc:title>admin</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49C87474FC044E06853F166999182CA1_13</vt:lpwstr>
  </property>
  <property fmtid="{D5CDD505-2E9C-101B-9397-08002B2CF9AE}" pid="4" name="KSOTemplateDocerSaveRecord">
    <vt:lpwstr>eyJoZGlkIjoiMzEwNTM5NzYwMDRjMzkwZTVkZjY2ODkwMGIxNGU0OTUiLCJ1c2VySWQiOiI0ODU4MzY1NjIifQ==</vt:lpwstr>
  </property>
</Properties>
</file>