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cs="Arial"/>
          <w:bCs/>
          <w:color w:val="auto"/>
          <w:sz w:val="32"/>
          <w:szCs w:val="32"/>
          <w:highlight w:val="none"/>
        </w:rPr>
      </w:pPr>
    </w:p>
    <w:p>
      <w:pPr>
        <w:jc w:val="left"/>
        <w:rPr>
          <w:rFonts w:ascii="黑体" w:hAnsi="黑体" w:eastAsia="黑体" w:cs="黑体"/>
          <w:bCs/>
          <w:color w:val="auto"/>
          <w:sz w:val="24"/>
          <w:szCs w:val="24"/>
          <w:highlight w:val="none"/>
        </w:rPr>
      </w:pPr>
      <w:r>
        <w:drawing>
          <wp:anchor distT="0" distB="0" distL="0" distR="0" simplePos="0" relativeHeight="251659264" behindDoc="0" locked="0" layoutInCell="1" allowOverlap="1">
            <wp:simplePos x="0" y="0"/>
            <wp:positionH relativeFrom="column">
              <wp:posOffset>4336415</wp:posOffset>
            </wp:positionH>
            <wp:positionV relativeFrom="paragraph">
              <wp:posOffset>78105</wp:posOffset>
            </wp:positionV>
            <wp:extent cx="1581150" cy="1574800"/>
            <wp:effectExtent l="0" t="0" r="635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581150" cy="1574800"/>
                    </a:xfrm>
                    <a:prstGeom prst="rect">
                      <a:avLst/>
                    </a:prstGeom>
                  </pic:spPr>
                </pic:pic>
              </a:graphicData>
            </a:graphic>
          </wp:anchor>
        </w:drawing>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lang w:eastAsia="zh-CN"/>
        </w:rPr>
      </w:pPr>
      <w:r>
        <w:rPr>
          <w:rFonts w:hint="eastAsia" w:asciiTheme="majorEastAsia" w:hAnsiTheme="majorEastAsia" w:eastAsiaTheme="majorEastAsia" w:cstheme="majorEastAsia"/>
          <w:b/>
          <w:bCs/>
          <w:color w:val="auto"/>
          <w:sz w:val="44"/>
          <w:szCs w:val="44"/>
          <w:highlight w:val="none"/>
        </w:rPr>
        <w:t xml:space="preserve"> </w:t>
      </w:r>
      <w:r>
        <w:rPr>
          <w:rFonts w:hint="eastAsia" w:asciiTheme="majorEastAsia" w:hAnsiTheme="majorEastAsia" w:eastAsiaTheme="majorEastAsia" w:cstheme="majorEastAsia"/>
          <w:b/>
          <w:bCs/>
          <w:color w:val="auto"/>
          <w:sz w:val="44"/>
          <w:szCs w:val="44"/>
          <w:highlight w:val="none"/>
          <w:lang w:eastAsia="zh-CN"/>
        </w:rPr>
        <w:t>南昌市东湖区人民政府董家窑街道办事处</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rPr>
      </w:pPr>
      <w:r>
        <w:rPr>
          <w:rFonts w:hint="eastAsia" w:asciiTheme="majorEastAsia" w:hAnsiTheme="majorEastAsia" w:eastAsiaTheme="majorEastAsia" w:cstheme="majorEastAsia"/>
          <w:b/>
          <w:bCs/>
          <w:color w:val="auto"/>
          <w:sz w:val="44"/>
          <w:szCs w:val="44"/>
          <w:highlight w:val="none"/>
          <w:lang w:eastAsia="zh-CN"/>
        </w:rPr>
        <w:t>2025年</w:t>
      </w:r>
      <w:r>
        <w:rPr>
          <w:rFonts w:hint="eastAsia" w:asciiTheme="majorEastAsia" w:hAnsiTheme="majorEastAsia" w:eastAsiaTheme="majorEastAsia" w:cstheme="majorEastAsia"/>
          <w:b/>
          <w:bCs/>
          <w:color w:val="auto"/>
          <w:sz w:val="44"/>
          <w:szCs w:val="44"/>
          <w:highlight w:val="none"/>
        </w:rPr>
        <w:t>度部门项目支出绩效评价报告</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s="Arial"/>
          <w:b/>
          <w:bCs/>
          <w:color w:val="auto"/>
          <w:sz w:val="44"/>
          <w:szCs w:val="44"/>
          <w:highlight w:val="none"/>
        </w:rPr>
      </w:pP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财政支出绩效评价从深化部门预算改革，加强预算绩效管理的实际，通过科学合理的方法，客观公正地评价财政预算资金使用的经济性、效率性和效益性，是强化部门预算支出责任、改善财政预算支出管理、优化资源配置以及提高公共服务水平的重要手段。</w:t>
      </w: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为进一步加强绩效管理水平，强化支持责任，提高财政资金使用效益，建立科学、合理的财政支出绩效评价管理体系，根据《南昌市财政局关于开展2025年度全市预算单位自评及部门评价工作的通知》（洪财绩〔2026〕1号）文件精神，运用科学、合理的评价方法对单位申报项目预算时明确的绩效指标完成情况进行客观、公正的评价。现将评价情况汇报如下：</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一、基本情况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（一）项目概况</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1.项目背景</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城管执法中队规范化建设，蓝藻治理工作经费。</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2.主要内容及实施情况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（1）主要内容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城管执法中队规范化建设，蓝藻治理工作经费。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（2）实施情况</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2025年本单位积极开展实施已立项的项目，按计划完成了“城管执法规范化建设经费”的发放工作。</w:t>
      </w:r>
    </w:p>
    <w:p>
      <w:pPr>
        <w:keepNext w:val="0"/>
        <w:keepLines w:val="0"/>
        <w:pageBreakBefore w:val="0"/>
        <w:numPr>
          <w:ilvl w:val="0"/>
          <w:numId w:val="1"/>
        </w:numPr>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资金投入和使用情况</w:t>
      </w:r>
    </w:p>
    <w:p>
      <w:pPr>
        <w:pStyle w:val="4"/>
        <w:spacing w:before="289" w:line="411" w:lineRule="auto"/>
        <w:ind w:left="34" w:firstLine="551"/>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资金投入：“城管执法规范化建设经费”项目资金来源区级财政拨款，年初预算安排11.45万元，2025年实际到位11.15万元。</w:t>
      </w:r>
    </w:p>
    <w:p>
      <w:pPr>
        <w:pStyle w:val="4"/>
        <w:spacing w:before="289" w:line="411" w:lineRule="auto"/>
        <w:ind w:left="34" w:firstLine="551"/>
        <w:jc w:val="both"/>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color w:val="auto"/>
          <w:kern w:val="2"/>
          <w:sz w:val="32"/>
          <w:szCs w:val="32"/>
          <w:highlight w:val="none"/>
          <w:lang w:val="en-US" w:eastAsia="zh-CN" w:bidi="ar-SA"/>
        </w:rPr>
        <w:t>资金使用：2025年度“城管执法规范化建设经费”实际支出11.15万元，预算资金执行率 97.43%。</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（二）项目绩效目标</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1.总体目标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推动街道城管执法中队规范化、标准化建设长效常态化开展。</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2.阶段性目标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完成2025年度推动街道城管执法中队规范化、标准化建设长效常态化开展。</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二、绩效评价工作开展情况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（一）绩效评价目的、对象和范围</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绩效评价从项目执行过程中的投入、管理制度建设、资金使用规范性、项目资金的使用和产出效果等多个方面，全面评价项目绩效状况。目的是为今后项目实施方向及管理方式改进提供指导，逐步树立以结果为导向的预算观。针对项目执行过程中存在的问题及不足，提出针对性改进意见，以促进项目单位的项目管理水平，提升政策实施效果和</w:t>
      </w:r>
      <w:r>
        <w:rPr>
          <w:rFonts w:hint="eastAsia" w:ascii="仿宋_GB2312" w:hAnsi="仿宋_GB2312" w:eastAsia="仿宋_GB2312" w:cs="仿宋_GB2312"/>
          <w:color w:val="auto"/>
          <w:sz w:val="32"/>
          <w:szCs w:val="32"/>
          <w:highlight w:val="none"/>
          <w:lang w:eastAsia="zh-CN"/>
        </w:rPr>
        <w:t>提高</w:t>
      </w:r>
      <w:bookmarkStart w:id="0" w:name="_GoBack"/>
      <w:bookmarkEnd w:id="0"/>
      <w:r>
        <w:rPr>
          <w:rFonts w:hint="eastAsia" w:ascii="仿宋_GB2312" w:hAnsi="仿宋_GB2312" w:eastAsia="仿宋_GB2312" w:cs="仿宋_GB2312"/>
          <w:color w:val="auto"/>
          <w:sz w:val="32"/>
          <w:szCs w:val="32"/>
          <w:highlight w:val="none"/>
        </w:rPr>
        <w:t>财政资金使用效益，为预算资金安排和完善提供参考。评价范围是</w:t>
      </w:r>
      <w:r>
        <w:rPr>
          <w:rFonts w:hint="eastAsia" w:ascii="仿宋_GB2312" w:hAnsi="仿宋_GB2312" w:eastAsia="仿宋_GB2312" w:cs="仿宋_GB2312"/>
          <w:color w:val="auto"/>
          <w:sz w:val="32"/>
          <w:szCs w:val="32"/>
          <w:highlight w:val="none"/>
          <w:lang w:eastAsia="zh-CN"/>
        </w:rPr>
        <w:t>“城管执法规范化建设经费”</w:t>
      </w:r>
      <w:r>
        <w:rPr>
          <w:rFonts w:hint="eastAsia" w:ascii="仿宋_GB2312" w:hAnsi="仿宋_GB2312" w:eastAsia="仿宋_GB2312" w:cs="仿宋_GB2312"/>
          <w:color w:val="auto"/>
          <w:sz w:val="32"/>
          <w:szCs w:val="32"/>
          <w:highlight w:val="none"/>
        </w:rPr>
        <w:t>资金</w:t>
      </w:r>
      <w:r>
        <w:rPr>
          <w:rFonts w:hint="eastAsia" w:ascii="仿宋_GB2312" w:hAnsi="仿宋_GB2312" w:eastAsia="仿宋_GB2312" w:cs="仿宋_GB2312"/>
          <w:color w:val="auto"/>
          <w:sz w:val="32"/>
          <w:szCs w:val="32"/>
          <w:highlight w:val="none"/>
          <w:lang w:val="en-US" w:eastAsia="zh-CN"/>
        </w:rPr>
        <w:t>11.45万</w:t>
      </w:r>
      <w:r>
        <w:rPr>
          <w:rFonts w:hint="eastAsia" w:ascii="仿宋_GB2312" w:hAnsi="仿宋_GB2312" w:eastAsia="仿宋_GB2312" w:cs="仿宋_GB2312"/>
          <w:color w:val="auto"/>
          <w:sz w:val="32"/>
          <w:szCs w:val="32"/>
          <w:highlight w:val="none"/>
        </w:rPr>
        <w:t>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（二）绩效评价原则、评价指标体系、评价方法、评价标准</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1.绩效评价原则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2025年“城管执法规范化建设经费”</w:t>
      </w:r>
      <w:r>
        <w:rPr>
          <w:rFonts w:hint="eastAsia" w:ascii="仿宋_GB2312" w:hAnsi="仿宋_GB2312" w:eastAsia="仿宋_GB2312" w:cs="仿宋_GB2312"/>
          <w:color w:val="auto"/>
          <w:sz w:val="32"/>
          <w:szCs w:val="32"/>
          <w:highlight w:val="none"/>
        </w:rPr>
        <w:t>资金支出绩效评价将严格遵守科学规范原则、公正公开原则、分级分类原则以及绩效管理相关原则。</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2.评价指标体系</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财政部《预算绩效评价共性指标体系框架》等文件精神，确定本次绩效评价指标的整体框架，结合项目目标以及项目实施要求、申报要求、专项资金发放效果等内容，确定本次绩效评价指标体系的个性指标，具体详见《项目支出绩效评分表》，指标数据来源于相关法规、政府文件、基础数据采集、问卷调查和访谈等。</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评价指标体系表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主要包括决策，过程，产出，效益四个方面，满分</w:t>
      </w:r>
      <w:r>
        <w:rPr>
          <w:rFonts w:hint="eastAsia" w:ascii="仿宋_GB2312" w:hAnsi="仿宋_GB2312" w:eastAsia="仿宋_GB2312" w:cs="仿宋_GB2312"/>
          <w:color w:val="auto"/>
          <w:sz w:val="32"/>
          <w:szCs w:val="32"/>
          <w:highlight w:val="none"/>
        </w:rPr>
        <w:t>共 100 分。分值≥90 分，评价结果为“优”; 80分≤分值&lt;90 分，评价结果为“良”；60 分≤分值&lt;80 分，评价结果为“中”；分值&lt;60 分，评价结果为“差”。</w:t>
      </w:r>
    </w:p>
    <w:tbl>
      <w:tblPr>
        <w:tblStyle w:val="8"/>
        <w:tblpPr w:leftFromText="180" w:rightFromText="180" w:vertAnchor="text" w:horzAnchor="page" w:tblpX="1517" w:tblpY="57"/>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6"/>
        <w:gridCol w:w="3118"/>
        <w:gridCol w:w="19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99" w:hRule="atLeast"/>
        </w:trPr>
        <w:tc>
          <w:tcPr>
            <w:tcW w:w="1565" w:type="dxa"/>
            <w:vAlign w:val="center"/>
          </w:tcPr>
          <w:p>
            <w:pPr>
              <w:autoSpaceDE/>
              <w:autoSpaceDN/>
              <w:spacing w:line="220" w:lineRule="exact"/>
              <w:ind w:right="265"/>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一级指标</w:t>
            </w:r>
          </w:p>
        </w:tc>
        <w:tc>
          <w:tcPr>
            <w:tcW w:w="2126"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二级指标</w:t>
            </w:r>
          </w:p>
        </w:tc>
        <w:tc>
          <w:tcPr>
            <w:tcW w:w="3118"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三级指标</w:t>
            </w:r>
          </w:p>
        </w:tc>
        <w:tc>
          <w:tcPr>
            <w:tcW w:w="1985"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决策</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项目立项</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立项依据充分性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立项程序规范性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绩效目标</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绩效目标合理性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104"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绩效指标明确性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资金投入</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预算编制科学性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65"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资金分配合理性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过程</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资金管理</w:t>
            </w:r>
            <w:r>
              <w:rPr>
                <w:rFonts w:hint="eastAsia" w:ascii="Times New Roman" w:hAnsi="Times New Roman" w:eastAsia="仿宋" w:cs="Times New Roman"/>
                <w:color w:val="auto"/>
                <w:kern w:val="2"/>
                <w:sz w:val="21"/>
                <w:szCs w:val="20"/>
                <w:highlight w:val="none"/>
                <w:lang w:eastAsia="zh-CN"/>
              </w:rPr>
              <w:t>（9分）</w:t>
            </w:r>
          </w:p>
        </w:tc>
        <w:tc>
          <w:tcPr>
            <w:tcW w:w="3118" w:type="dxa"/>
            <w:vAlign w:val="center"/>
          </w:tcPr>
          <w:p>
            <w:pPr>
              <w:autoSpaceDE/>
              <w:autoSpaceDN/>
              <w:spacing w:before="40"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资金到位率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38"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预算执行率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73"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资金使用合规性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组织实施</w:t>
            </w:r>
            <w:r>
              <w:rPr>
                <w:rFonts w:hint="eastAsia" w:ascii="Times New Roman" w:hAnsi="Times New Roman" w:eastAsia="仿宋" w:cs="Times New Roman"/>
                <w:color w:val="auto"/>
                <w:kern w:val="2"/>
                <w:sz w:val="21"/>
                <w:szCs w:val="20"/>
                <w:highlight w:val="none"/>
                <w:lang w:eastAsia="zh-CN"/>
              </w:rPr>
              <w:t>（6分）</w:t>
            </w:r>
          </w:p>
        </w:tc>
        <w:tc>
          <w:tcPr>
            <w:tcW w:w="3118" w:type="dxa"/>
            <w:vAlign w:val="center"/>
          </w:tcPr>
          <w:p>
            <w:pPr>
              <w:autoSpaceDE/>
              <w:autoSpaceDN/>
              <w:spacing w:before="9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管理制度健全性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制度执行有效性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40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产出数量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宋体" w:hAnsi="宋体" w:eastAsia="宋体" w:cs="宋体"/>
                <w:b w:val="0"/>
                <w:bCs w:val="0"/>
                <w:color w:val="auto"/>
                <w:sz w:val="24"/>
                <w:szCs w:val="24"/>
                <w:highlight w:val="none"/>
              </w:rPr>
            </w:pPr>
            <w:r>
              <w:rPr>
                <w:rFonts w:ascii="仿宋" w:hAnsi="仿宋" w:eastAsia="仿宋" w:cs="Times New Roman"/>
                <w:color w:val="auto"/>
                <w:kern w:val="2"/>
                <w:sz w:val="20"/>
                <w:szCs w:val="20"/>
                <w:highlight w:val="none"/>
                <w:lang w:eastAsia="zh-CN"/>
              </w:rPr>
              <w:br w:type="textWrapping"/>
            </w: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b w:val="0"/>
                <w:bCs w:val="0"/>
                <w:color w:val="auto"/>
                <w:kern w:val="2"/>
                <w:sz w:val="20"/>
                <w:szCs w:val="20"/>
                <w:highlight w:val="none"/>
                <w:lang w:val="en-US" w:eastAsia="zh-CN"/>
              </w:rPr>
              <w:t>10</w:t>
            </w:r>
            <w:r>
              <w:rPr>
                <w:rFonts w:hint="eastAsia" w:ascii="仿宋" w:hAnsi="仿宋" w:eastAsia="仿宋" w:cs="Times New Roman"/>
                <w:b w:val="0"/>
                <w:bCs w:val="0"/>
                <w:color w:val="auto"/>
                <w:kern w:val="2"/>
                <w:sz w:val="20"/>
                <w:szCs w:val="20"/>
                <w:highlight w:val="none"/>
                <w:lang w:eastAsia="zh-CN"/>
              </w:rPr>
              <w:t>分）</w:t>
            </w:r>
          </w:p>
          <w:p>
            <w:pPr>
              <w:autoSpaceDE/>
              <w:autoSpaceDN/>
              <w:spacing w:before="72" w:line="220" w:lineRule="exact"/>
              <w:ind w:left="225" w:right="217"/>
              <w:jc w:val="center"/>
              <w:rPr>
                <w:rFonts w:ascii="仿宋" w:hAnsi="仿宋" w:eastAsia="仿宋" w:cs="Times New Roman"/>
                <w:b/>
                <w:bCs/>
                <w:color w:val="auto"/>
                <w:kern w:val="2"/>
                <w:sz w:val="20"/>
                <w:szCs w:val="20"/>
                <w:highlight w:val="none"/>
                <w:lang w:eastAsia="zh-CN"/>
              </w:rPr>
            </w:pPr>
          </w:p>
        </w:tc>
        <w:tc>
          <w:tcPr>
            <w:tcW w:w="1985"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产出质量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产出时效</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及时率（10分）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产出成本</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效益</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30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社会效益</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15分）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w:t>
            </w:r>
            <w:r>
              <w:rPr>
                <w:rFonts w:hint="eastAsia" w:ascii="仿宋" w:hAnsi="仿宋" w:eastAsia="仿宋" w:cs="Times New Roman"/>
                <w:color w:val="auto"/>
                <w:kern w:val="2"/>
                <w:sz w:val="20"/>
                <w:szCs w:val="20"/>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bottom w:val="single" w:color="auto" w:sz="4" w:space="0"/>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满意度</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人员满意度（</w:t>
            </w:r>
            <w:r>
              <w:rPr>
                <w:rFonts w:hint="eastAsia" w:ascii="仿宋" w:hAnsi="仿宋" w:eastAsia="仿宋" w:cs="Times New Roman"/>
                <w:color w:val="auto"/>
                <w:kern w:val="2"/>
                <w:sz w:val="20"/>
                <w:szCs w:val="20"/>
                <w:highlight w:val="none"/>
                <w:lang w:val="en-US" w:eastAsia="zh-CN"/>
              </w:rPr>
              <w:t>15分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w:t>
            </w:r>
            <w:r>
              <w:rPr>
                <w:rFonts w:hint="eastAsia" w:ascii="仿宋" w:hAnsi="仿宋" w:eastAsia="仿宋" w:cs="Times New Roman"/>
                <w:color w:val="auto"/>
                <w:kern w:val="2"/>
                <w:sz w:val="20"/>
                <w:szCs w:val="20"/>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总分</w:t>
            </w:r>
            <w:r>
              <w:rPr>
                <w:rFonts w:hint="eastAsia" w:ascii="Times New Roman" w:hAnsi="Times New Roman" w:eastAsia="仿宋" w:cs="Times New Roman"/>
                <w:color w:val="auto"/>
                <w:kern w:val="2"/>
                <w:sz w:val="21"/>
                <w:szCs w:val="20"/>
                <w:highlight w:val="none"/>
                <w:lang w:eastAsia="zh-CN"/>
              </w:rPr>
              <w:t>（100分）</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9</w:t>
            </w:r>
            <w:r>
              <w:rPr>
                <w:rFonts w:hint="eastAsia" w:ascii="仿宋" w:hAnsi="仿宋" w:eastAsia="仿宋" w:cs="Times New Roman"/>
                <w:color w:val="auto"/>
                <w:kern w:val="2"/>
                <w:sz w:val="20"/>
                <w:szCs w:val="20"/>
                <w:highlight w:val="none"/>
                <w:lang w:val="en-US" w:eastAsia="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评价等次</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794" w:type="dxa"/>
            <w:gridSpan w:val="4"/>
            <w:tcBorders>
              <w:top w:val="single" w:color="auto" w:sz="4" w:space="0"/>
              <w:left w:val="single" w:color="auto" w:sz="4" w:space="0"/>
              <w:bottom w:val="single" w:color="auto" w:sz="4" w:space="0"/>
            </w:tcBorders>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100-90（含）分为优、90-80（含）分为良、80-60（含）分为中、60分以下为差</w:t>
            </w:r>
            <w:r>
              <w:rPr>
                <w:rFonts w:ascii="仿宋" w:hAnsi="仿宋" w:eastAsia="仿宋" w:cs="Times New Roman"/>
                <w:color w:val="auto"/>
                <w:kern w:val="2"/>
                <w:sz w:val="20"/>
                <w:szCs w:val="20"/>
                <w:highlight w:val="none"/>
                <w:lang w:eastAsia="zh-CN"/>
              </w:rPr>
              <w:tab/>
            </w:r>
          </w:p>
        </w:tc>
      </w:tr>
    </w:tbl>
    <w:p>
      <w:pPr>
        <w:pStyle w:val="4"/>
        <w:rPr>
          <w:color w:val="auto"/>
          <w:highlight w:val="none"/>
        </w:rPr>
      </w:pPr>
    </w:p>
    <w:p>
      <w:pPr>
        <w:spacing w:line="360" w:lineRule="auto"/>
        <w:ind w:firstLine="643" w:firstLineChars="200"/>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3.评价方法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绩效评价主要采用以下评价方法：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（1）成本效益分析法。是指将一定时期内的支出与效益进行对比分析，以评价绩效目标实现程度。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（2）比较分析法。指通过对绩效目标与实施效果、当期情况的比较，综合分析绩效目标实现程度。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（3）公众评判法。是指通过公众问卷及抽样调查等对财政支出效果进行评判，评价绩效目标实现程度。</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4.评价标准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b w:val="0"/>
          <w:color w:val="auto"/>
          <w:kern w:val="2"/>
          <w:sz w:val="32"/>
          <w:szCs w:val="32"/>
          <w:highlight w:val="none"/>
          <w:lang w:val="en-US" w:eastAsia="zh-CN" w:bidi="ar-SA"/>
        </w:rPr>
        <w:t>《南昌市财政局关于开展2025年度全市预算单位自评及部门评价工作的通知》（洪财绩〔2026〕1号）文件精神</w:t>
      </w:r>
      <w:r>
        <w:rPr>
          <w:rFonts w:hint="eastAsia" w:ascii="仿宋_GB2312" w:hAnsi="仿宋_GB2312" w:eastAsia="仿宋_GB2312" w:cs="仿宋_GB2312"/>
          <w:color w:val="auto"/>
          <w:sz w:val="32"/>
          <w:szCs w:val="32"/>
          <w:highlight w:val="none"/>
        </w:rPr>
        <w:t>，参照财政部《项目支出绩效评价共性指标体系框架》制定了《项目支出绩效评价指标体系评分表》，经我</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rPr>
        <w:t>自评，</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项目支出绩效评价得分</w:t>
      </w:r>
      <w:r>
        <w:rPr>
          <w:rFonts w:hint="eastAsia" w:ascii="仿宋_GB2312" w:hAnsi="仿宋_GB2312" w:eastAsia="仿宋_GB2312" w:cs="仿宋_GB2312"/>
          <w:color w:val="auto"/>
          <w:sz w:val="32"/>
          <w:szCs w:val="32"/>
          <w:highlight w:val="none"/>
          <w:lang w:val="en-US" w:eastAsia="zh-CN"/>
        </w:rPr>
        <w:t>97分</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（三）绩效评价工作过程</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 xml:space="preserve">本次项目的评价是评价组进行项目调研，研发设计绩效指标体系、基础数据报表体系和调研方案，同时评价组到实地采集数据，完善评价基础资料。评价组工作人员对基础数据进行查验，就项目的目标及实施效果等做深入了解，并组织开展访谈等调研，之后汇总分析评价数据，依据制订的评价标准和评分规则，对项目投入产出绩效进行量化评分。依据项目立项、项目执行、项目管理、项目资金运用及使用情况，以及项目投入产出绩效，撰写绩效评价报告，针对存在问题提出改进建议。 </w:t>
      </w: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三、综合评价情况及评价结论</w:t>
      </w:r>
    </w:p>
    <w:p>
      <w:pPr>
        <w:spacing w:line="360" w:lineRule="auto"/>
        <w:ind w:firstLine="640" w:firstLineChars="200"/>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根据自评绩效评分细则，我们严格按照经费管理原则管理和使用，严格执行预算管理、防止各种违反财经纪律的行为、保障重点、量入为出、收支平衡的原则，提高</w:t>
      </w:r>
      <w:r>
        <w:rPr>
          <w:rFonts w:hint="eastAsia" w:ascii="仿宋_GB2312" w:hAnsi="仿宋_GB2312" w:eastAsia="仿宋_GB2312" w:cs="仿宋_GB2312"/>
          <w:color w:val="auto"/>
          <w:sz w:val="32"/>
          <w:szCs w:val="32"/>
          <w:highlight w:val="none"/>
          <w:lang w:eastAsia="zh-CN"/>
        </w:rPr>
        <w:t>财政</w:t>
      </w:r>
      <w:r>
        <w:rPr>
          <w:rFonts w:hint="eastAsia" w:ascii="仿宋_GB2312" w:hAnsi="仿宋_GB2312" w:eastAsia="仿宋_GB2312" w:cs="仿宋_GB2312"/>
          <w:color w:val="auto"/>
          <w:sz w:val="32"/>
          <w:szCs w:val="32"/>
          <w:highlight w:val="none"/>
        </w:rPr>
        <w:t>资金使用效益。</w:t>
      </w:r>
      <w:r>
        <w:rPr>
          <w:rFonts w:hint="eastAsia" w:ascii="仿宋_GB2312" w:hAnsi="仿宋_GB2312" w:eastAsia="仿宋_GB2312" w:cs="仿宋_GB2312"/>
          <w:color w:val="auto"/>
          <w:sz w:val="32"/>
          <w:szCs w:val="32"/>
          <w:highlight w:val="none"/>
          <w:lang w:val="en-US" w:eastAsia="zh-CN"/>
        </w:rPr>
        <w:t>“城管执法规范化建设经费”绩效自评得分为97分，</w:t>
      </w:r>
      <w:r>
        <w:rPr>
          <w:rFonts w:hint="eastAsia" w:ascii="仿宋_GB2312" w:hAnsi="仿宋_GB2312" w:eastAsia="仿宋_GB2312" w:cs="仿宋_GB2312"/>
          <w:color w:val="auto"/>
          <w:sz w:val="32"/>
          <w:szCs w:val="32"/>
          <w:highlight w:val="none"/>
        </w:rPr>
        <w:t>经绩效评价小组复核，</w:t>
      </w:r>
      <w:r>
        <w:rPr>
          <w:rFonts w:hint="eastAsia" w:ascii="仿宋_GB2312" w:hAnsi="仿宋_GB2312" w:eastAsia="仿宋_GB2312" w:cs="仿宋_GB2312"/>
          <w:color w:val="auto"/>
          <w:sz w:val="32"/>
          <w:szCs w:val="32"/>
          <w:highlight w:val="none"/>
          <w:lang w:val="en-US" w:eastAsia="zh-CN"/>
        </w:rPr>
        <w:t>“城管执法规范化建设经费”</w:t>
      </w:r>
      <w:r>
        <w:rPr>
          <w:rFonts w:hint="eastAsia" w:ascii="仿宋_GB2312" w:hAnsi="仿宋_GB2312" w:eastAsia="仿宋_GB2312" w:cs="仿宋_GB2312"/>
          <w:color w:val="auto"/>
          <w:sz w:val="32"/>
          <w:szCs w:val="32"/>
          <w:highlight w:val="none"/>
        </w:rPr>
        <w:t>项目最终绩效评价得分为9</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分，评价等级为“优”。</w:t>
      </w:r>
    </w:p>
    <w:p>
      <w:pPr>
        <w:pStyle w:val="4"/>
        <w:rPr>
          <w:rFonts w:hint="eastAsia"/>
          <w:color w:val="auto"/>
          <w:highlight w:val="none"/>
          <w:lang w:val="en-US" w:eastAsia="zh-CN"/>
        </w:rPr>
      </w:pP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四、绩效评价指标分析</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rPr>
        <w:t>（一）项目决策情况（1</w:t>
      </w:r>
      <w:r>
        <w:rPr>
          <w:rFonts w:hint="eastAsia" w:ascii="楷体_GB2312" w:hAnsi="楷体_GB2312" w:eastAsia="楷体_GB2312" w:cs="楷体_GB2312"/>
          <w:b w:val="0"/>
          <w:bCs w:val="0"/>
          <w:color w:val="auto"/>
          <w:sz w:val="32"/>
          <w:szCs w:val="32"/>
          <w:highlight w:val="none"/>
          <w:lang w:val="en-US" w:eastAsia="zh-CN"/>
        </w:rPr>
        <w:t>5</w:t>
      </w:r>
      <w:r>
        <w:rPr>
          <w:rFonts w:hint="eastAsia" w:ascii="楷体_GB2312" w:hAnsi="楷体_GB2312" w:eastAsia="楷体_GB2312" w:cs="楷体_GB2312"/>
          <w:b w:val="0"/>
          <w:bCs w:val="0"/>
          <w:color w:val="auto"/>
          <w:sz w:val="32"/>
          <w:szCs w:val="32"/>
          <w:highlight w:val="none"/>
        </w:rPr>
        <w:t>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1.项目立项</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本项目严格按有关规章制度进行管理，活动项目立项、资金使用等经主席办公会集体讨论决定，对项目绩效目标、资金分配、资金落实、完成时限等均提出了明确具体的要求，保证了本项目保质保量。完成了目标值，依据评分标准，该项指标得5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绩效目标（</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目标设定充分依据项目实际需求，目标和指标的设计符合项目管理规范;指标采取定量与定性相结合，通过清晰、可衡量的指标值将绩效目标反映出来，考核指标设立合理;项目预期产出效益和效果符合正常的工作水平，绩效指标具体可测性。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资金投入（</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该项目严格按照程序进行项目的预算申报，并根据项目实际需要和本年度计划工作内容，设定了绩效目标，且目标明确，与预算确定的项目投资额相匹配。完成了目标值，依据评分标准，该项指标得</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（二）项目过程情况（</w:t>
      </w:r>
      <w:r>
        <w:rPr>
          <w:rFonts w:hint="eastAsia" w:ascii="楷体_GB2312" w:hAnsi="楷体_GB2312" w:eastAsia="楷体_GB2312" w:cs="楷体_GB2312"/>
          <w:b w:val="0"/>
          <w:bCs w:val="0"/>
          <w:color w:val="auto"/>
          <w:sz w:val="32"/>
          <w:szCs w:val="32"/>
          <w:highlight w:val="none"/>
          <w:lang w:val="en-US" w:eastAsia="zh-CN"/>
        </w:rPr>
        <w:t>15</w:t>
      </w:r>
      <w:r>
        <w:rPr>
          <w:rFonts w:hint="eastAsia" w:ascii="楷体_GB2312" w:hAnsi="楷体_GB2312" w:eastAsia="楷体_GB2312" w:cs="楷体_GB2312"/>
          <w:b w:val="0"/>
          <w:bCs w:val="0"/>
          <w:color w:val="auto"/>
          <w:sz w:val="32"/>
          <w:szCs w:val="32"/>
          <w:highlight w:val="none"/>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资金</w:t>
      </w:r>
      <w:r>
        <w:rPr>
          <w:rFonts w:hint="eastAsia" w:ascii="仿宋_GB2312" w:hAnsi="仿宋_GB2312" w:eastAsia="仿宋_GB2312" w:cs="仿宋_GB2312"/>
          <w:b/>
          <w:bCs/>
          <w:color w:val="auto"/>
          <w:sz w:val="32"/>
          <w:szCs w:val="32"/>
          <w:highlight w:val="none"/>
          <w:lang w:val="en-US" w:eastAsia="zh-CN"/>
        </w:rPr>
        <w:t>到位率</w:t>
      </w:r>
      <w:r>
        <w:rPr>
          <w:rFonts w:hint="eastAsia" w:ascii="仿宋_GB2312" w:hAnsi="仿宋_GB2312" w:eastAsia="仿宋_GB2312" w:cs="仿宋_GB2312"/>
          <w:b/>
          <w:bCs/>
          <w:color w:val="auto"/>
          <w:sz w:val="32"/>
          <w:szCs w:val="32"/>
          <w:highlight w:val="none"/>
        </w:rPr>
        <w:t>（3分）</w:t>
      </w:r>
    </w:p>
    <w:p>
      <w:pPr>
        <w:pStyle w:val="12"/>
        <w:spacing w:line="360" w:lineRule="auto"/>
        <w:ind w:left="0" w:leftChars="0"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cs="仿宋_GB2312"/>
          <w:color w:val="auto"/>
          <w:sz w:val="32"/>
          <w:szCs w:val="32"/>
          <w:highlight w:val="none"/>
          <w:lang w:val="en-US" w:eastAsia="zh-CN"/>
        </w:rPr>
        <w:t>“城管执法规范化建设经费”</w:t>
      </w:r>
      <w:r>
        <w:rPr>
          <w:rFonts w:hint="eastAsia" w:ascii="仿宋_GB2312" w:hAnsi="仿宋_GB2312" w:eastAsia="仿宋_GB2312" w:cs="仿宋_GB2312"/>
          <w:color w:val="auto"/>
          <w:sz w:val="32"/>
          <w:szCs w:val="32"/>
          <w:highlight w:val="none"/>
          <w:lang w:val="en-US" w:eastAsia="zh-CN"/>
        </w:rPr>
        <w:t>资金预算数</w:t>
      </w:r>
      <w:r>
        <w:rPr>
          <w:rFonts w:hint="eastAsia" w:ascii="仿宋_GB2312" w:hAnsi="仿宋_GB2312" w:cs="仿宋_GB2312"/>
          <w:color w:val="auto"/>
          <w:sz w:val="32"/>
          <w:szCs w:val="32"/>
          <w:highlight w:val="none"/>
          <w:lang w:val="en-US" w:eastAsia="zh-CN"/>
        </w:rPr>
        <w:t>11.45万</w:t>
      </w:r>
      <w:r>
        <w:rPr>
          <w:rFonts w:hint="eastAsia" w:ascii="仿宋_GB2312" w:hAnsi="仿宋_GB2312" w:eastAsia="仿宋_GB2312" w:cs="仿宋_GB2312"/>
          <w:color w:val="auto"/>
          <w:sz w:val="32"/>
          <w:szCs w:val="32"/>
          <w:highlight w:val="none"/>
          <w:lang w:val="en-US" w:eastAsia="zh-CN"/>
        </w:rPr>
        <w:t>元，全年专项资金到位</w:t>
      </w:r>
      <w:r>
        <w:rPr>
          <w:rFonts w:hint="eastAsia" w:ascii="仿宋_GB2312" w:hAnsi="仿宋_GB2312" w:cs="仿宋_GB2312"/>
          <w:color w:val="auto"/>
          <w:sz w:val="32"/>
          <w:szCs w:val="32"/>
          <w:highlight w:val="none"/>
          <w:lang w:val="en-US" w:eastAsia="zh-CN"/>
        </w:rPr>
        <w:t>11.15万</w:t>
      </w:r>
      <w:r>
        <w:rPr>
          <w:rFonts w:hint="eastAsia" w:ascii="仿宋_GB2312" w:hAnsi="仿宋_GB2312" w:eastAsia="仿宋_GB2312" w:cs="仿宋_GB2312"/>
          <w:color w:val="auto"/>
          <w:sz w:val="32"/>
          <w:szCs w:val="32"/>
          <w:highlight w:val="none"/>
          <w:lang w:val="en-US" w:eastAsia="zh-CN"/>
        </w:rPr>
        <w:t>，到位率良好，该指标得分为</w:t>
      </w:r>
      <w:r>
        <w:rPr>
          <w:rFonts w:hint="eastAsia" w:ascii="仿宋_GB2312" w:hAnsi="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资金执行</w:t>
      </w:r>
      <w:r>
        <w:rPr>
          <w:rFonts w:hint="eastAsia" w:ascii="仿宋_GB2312" w:hAnsi="仿宋_GB2312" w:eastAsia="仿宋_GB2312" w:cs="仿宋_GB2312"/>
          <w:b/>
          <w:bCs/>
          <w:color w:val="auto"/>
          <w:sz w:val="32"/>
          <w:szCs w:val="32"/>
          <w:highlight w:val="none"/>
          <w:lang w:val="en-US" w:eastAsia="zh-CN"/>
        </w:rPr>
        <w:t>率</w:t>
      </w:r>
      <w:r>
        <w:rPr>
          <w:rFonts w:hint="eastAsia" w:ascii="仿宋_GB2312" w:hAnsi="仿宋_GB2312" w:eastAsia="仿宋_GB2312" w:cs="仿宋_GB2312"/>
          <w:b/>
          <w:bCs/>
          <w:color w:val="auto"/>
          <w:sz w:val="32"/>
          <w:szCs w:val="32"/>
          <w:highlight w:val="none"/>
        </w:rPr>
        <w:t>（3分）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度</w:t>
      </w:r>
      <w:r>
        <w:rPr>
          <w:rFonts w:hint="eastAsia" w:ascii="仿宋_GB2312" w:hAnsi="仿宋_GB2312" w:eastAsia="仿宋_GB2312" w:cs="仿宋_GB2312"/>
          <w:color w:val="auto"/>
          <w:sz w:val="32"/>
          <w:szCs w:val="32"/>
          <w:highlight w:val="none"/>
          <w:lang w:val="en-US" w:eastAsia="zh-CN"/>
        </w:rPr>
        <w:t>“城管执法规范化建设经费”</w:t>
      </w:r>
      <w:r>
        <w:rPr>
          <w:rFonts w:hint="eastAsia" w:ascii="仿宋_GB2312" w:hAnsi="仿宋_GB2312" w:eastAsia="仿宋_GB2312" w:cs="仿宋_GB2312"/>
          <w:color w:val="auto"/>
          <w:sz w:val="32"/>
          <w:szCs w:val="32"/>
          <w:highlight w:val="none"/>
        </w:rPr>
        <w:t>资金年初预算数</w:t>
      </w:r>
      <w:r>
        <w:rPr>
          <w:rFonts w:hint="eastAsia" w:ascii="仿宋_GB2312" w:hAnsi="仿宋_GB2312" w:eastAsia="仿宋_GB2312" w:cs="仿宋_GB2312"/>
          <w:color w:val="auto"/>
          <w:sz w:val="32"/>
          <w:szCs w:val="32"/>
          <w:highlight w:val="none"/>
          <w:lang w:val="en-US" w:eastAsia="zh-CN"/>
        </w:rPr>
        <w:t>11.45万</w:t>
      </w:r>
      <w:r>
        <w:rPr>
          <w:rFonts w:hint="eastAsia" w:ascii="仿宋_GB2312" w:hAnsi="仿宋_GB2312" w:eastAsia="仿宋_GB2312" w:cs="仿宋_GB2312"/>
          <w:color w:val="auto"/>
          <w:sz w:val="32"/>
          <w:szCs w:val="32"/>
          <w:highlight w:val="none"/>
        </w:rPr>
        <w:t>元，全年预算数</w:t>
      </w:r>
      <w:r>
        <w:rPr>
          <w:rFonts w:hint="eastAsia" w:ascii="仿宋_GB2312" w:hAnsi="仿宋_GB2312" w:eastAsia="仿宋_GB2312" w:cs="仿宋_GB2312"/>
          <w:color w:val="auto"/>
          <w:sz w:val="32"/>
          <w:szCs w:val="32"/>
          <w:highlight w:val="none"/>
          <w:lang w:val="en-US" w:eastAsia="zh-CN"/>
        </w:rPr>
        <w:t>11.45万</w:t>
      </w:r>
      <w:r>
        <w:rPr>
          <w:rFonts w:hint="eastAsia" w:ascii="仿宋_GB2312" w:hAnsi="仿宋_GB2312" w:eastAsia="仿宋_GB2312" w:cs="仿宋_GB2312"/>
          <w:color w:val="auto"/>
          <w:sz w:val="32"/>
          <w:szCs w:val="32"/>
          <w:highlight w:val="none"/>
        </w:rPr>
        <w:t>元，专项资金到位</w:t>
      </w:r>
      <w:r>
        <w:rPr>
          <w:rFonts w:hint="eastAsia" w:ascii="仿宋_GB2312" w:hAnsi="仿宋_GB2312" w:eastAsia="仿宋_GB2312" w:cs="仿宋_GB2312"/>
          <w:color w:val="auto"/>
          <w:sz w:val="32"/>
          <w:szCs w:val="32"/>
          <w:highlight w:val="none"/>
          <w:lang w:val="en-US" w:eastAsia="zh-CN"/>
        </w:rPr>
        <w:t>11.45万</w:t>
      </w:r>
      <w:r>
        <w:rPr>
          <w:rFonts w:hint="eastAsia" w:ascii="仿宋_GB2312" w:hAnsi="仿宋_GB2312" w:eastAsia="仿宋_GB2312" w:cs="仿宋_GB2312"/>
          <w:color w:val="auto"/>
          <w:sz w:val="32"/>
          <w:szCs w:val="32"/>
          <w:highlight w:val="none"/>
        </w:rPr>
        <w:t>元，全年执行数</w:t>
      </w:r>
      <w:r>
        <w:rPr>
          <w:rFonts w:hint="eastAsia" w:ascii="仿宋_GB2312" w:hAnsi="仿宋_GB2312" w:eastAsia="仿宋_GB2312" w:cs="仿宋_GB2312"/>
          <w:color w:val="auto"/>
          <w:sz w:val="32"/>
          <w:szCs w:val="32"/>
          <w:highlight w:val="none"/>
          <w:lang w:val="en-US" w:eastAsia="zh-CN"/>
        </w:rPr>
        <w:t>11.15万</w:t>
      </w:r>
      <w:r>
        <w:rPr>
          <w:rFonts w:hint="eastAsia" w:ascii="仿宋_GB2312" w:hAnsi="仿宋_GB2312" w:eastAsia="仿宋_GB2312" w:cs="仿宋_GB2312"/>
          <w:color w:val="auto"/>
          <w:sz w:val="32"/>
          <w:szCs w:val="32"/>
          <w:highlight w:val="none"/>
        </w:rPr>
        <w:t>元，预算资金执行率</w:t>
      </w:r>
      <w:r>
        <w:rPr>
          <w:rFonts w:hint="eastAsia" w:ascii="仿宋_GB2312" w:hAnsi="仿宋_GB2312" w:eastAsia="仿宋_GB2312" w:cs="仿宋_GB2312"/>
          <w:color w:val="auto"/>
          <w:sz w:val="32"/>
          <w:szCs w:val="32"/>
          <w:highlight w:val="none"/>
          <w:lang w:val="en-US" w:eastAsia="zh-CN"/>
        </w:rPr>
        <w:t>97.43%</w:t>
      </w:r>
      <w:r>
        <w:rPr>
          <w:rFonts w:hint="eastAsia" w:ascii="仿宋_GB2312" w:hAnsi="仿宋_GB2312" w:eastAsia="仿宋_GB2312" w:cs="仿宋_GB2312"/>
          <w:color w:val="auto"/>
          <w:sz w:val="32"/>
          <w:szCs w:val="32"/>
          <w:highlight w:val="none"/>
        </w:rPr>
        <w:t>。执行情况</w:t>
      </w:r>
      <w:r>
        <w:rPr>
          <w:rFonts w:hint="eastAsia" w:ascii="仿宋_GB2312" w:hAnsi="仿宋_GB2312" w:eastAsia="仿宋_GB2312" w:cs="仿宋_GB2312"/>
          <w:color w:val="auto"/>
          <w:sz w:val="32"/>
          <w:szCs w:val="32"/>
          <w:highlight w:val="none"/>
          <w:lang w:val="en-US" w:eastAsia="zh-CN"/>
        </w:rPr>
        <w:t>较好</w:t>
      </w:r>
      <w:r>
        <w:rPr>
          <w:rFonts w:hint="eastAsia" w:ascii="仿宋_GB2312" w:hAnsi="仿宋_GB2312" w:eastAsia="仿宋_GB2312" w:cs="仿宋_GB2312"/>
          <w:color w:val="auto"/>
          <w:sz w:val="32"/>
          <w:szCs w:val="32"/>
          <w:highlight w:val="none"/>
        </w:rPr>
        <w:t>，该指标得分为</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2"/>
        <w:spacing w:before="0" w:after="0" w:line="360" w:lineRule="auto"/>
        <w:ind w:firstLine="643" w:firstLineChars="200"/>
        <w:rPr>
          <w:rFonts w:hint="eastAsia" w:ascii="仿宋_GB2312" w:hAnsi="仿宋_GB2312" w:eastAsia="仿宋_GB2312" w:cs="仿宋_GB2312"/>
          <w:b/>
          <w:bCs/>
          <w:color w:val="auto"/>
          <w:szCs w:val="32"/>
          <w:highlight w:val="none"/>
        </w:rPr>
      </w:pP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资金使用</w:t>
      </w:r>
      <w:r>
        <w:rPr>
          <w:rFonts w:hint="eastAsia" w:ascii="仿宋_GB2312" w:hAnsi="仿宋_GB2312" w:eastAsia="仿宋_GB2312" w:cs="仿宋_GB2312"/>
          <w:b/>
          <w:bCs/>
          <w:color w:val="auto"/>
          <w:szCs w:val="32"/>
          <w:highlight w:val="none"/>
          <w:lang w:val="en-US" w:eastAsia="zh-CN"/>
        </w:rPr>
        <w:t>合规性</w:t>
      </w:r>
      <w:r>
        <w:rPr>
          <w:rFonts w:hint="eastAsia" w:ascii="仿宋_GB2312" w:hAnsi="仿宋_GB2312" w:eastAsia="仿宋_GB2312" w:cs="仿宋_GB2312"/>
          <w:b/>
          <w:bCs/>
          <w:color w:val="auto"/>
          <w:szCs w:val="32"/>
          <w:highlight w:val="none"/>
        </w:rPr>
        <w:t>（</w:t>
      </w: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在项目资金管理中，严格按照</w:t>
      </w:r>
      <w:r>
        <w:rPr>
          <w:rFonts w:hint="eastAsia" w:ascii="仿宋_GB2312" w:hAnsi="仿宋_GB2312" w:eastAsia="仿宋_GB2312" w:cs="仿宋_GB2312"/>
          <w:color w:val="auto"/>
          <w:sz w:val="32"/>
          <w:szCs w:val="32"/>
          <w:highlight w:val="none"/>
          <w:lang w:val="en-US" w:eastAsia="zh-CN"/>
        </w:rPr>
        <w:t>资金</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办法</w:t>
      </w:r>
      <w:r>
        <w:rPr>
          <w:rFonts w:hint="eastAsia" w:ascii="仿宋_GB2312" w:hAnsi="仿宋_GB2312" w:eastAsia="仿宋_GB2312" w:cs="仿宋_GB2312"/>
          <w:color w:val="auto"/>
          <w:sz w:val="32"/>
          <w:szCs w:val="32"/>
          <w:highlight w:val="none"/>
        </w:rPr>
        <w:t>制度，严格</w:t>
      </w:r>
      <w:r>
        <w:rPr>
          <w:rFonts w:hint="eastAsia" w:ascii="仿宋_GB2312" w:hAnsi="仿宋_GB2312" w:eastAsia="仿宋_GB2312" w:cs="仿宋_GB2312"/>
          <w:color w:val="auto"/>
          <w:sz w:val="32"/>
          <w:szCs w:val="32"/>
          <w:highlight w:val="none"/>
          <w:lang w:val="en-US" w:eastAsia="zh-CN"/>
        </w:rPr>
        <w:t>专款专用</w:t>
      </w:r>
      <w:r>
        <w:rPr>
          <w:rFonts w:hint="eastAsia" w:ascii="仿宋_GB2312" w:hAnsi="仿宋_GB2312" w:eastAsia="仿宋_GB2312" w:cs="仿宋_GB2312"/>
          <w:color w:val="auto"/>
          <w:sz w:val="32"/>
          <w:szCs w:val="32"/>
          <w:highlight w:val="none"/>
        </w:rPr>
        <w:t>，该项指标得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组织实施（</w:t>
      </w:r>
      <w:r>
        <w:rPr>
          <w:rFonts w:hint="eastAsia" w:ascii="仿宋_GB2312" w:hAnsi="仿宋_GB2312" w:eastAsia="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管理制度健全性：根据</w:t>
      </w:r>
      <w:r>
        <w:rPr>
          <w:rFonts w:hint="eastAsia" w:ascii="仿宋_GB2312" w:hAnsi="仿宋_GB2312" w:eastAsia="仿宋_GB2312" w:cs="仿宋_GB2312"/>
          <w:color w:val="auto"/>
          <w:sz w:val="32"/>
          <w:szCs w:val="32"/>
          <w:highlight w:val="none"/>
          <w:lang w:val="en-US" w:eastAsia="zh-CN"/>
        </w:rPr>
        <w:t>东湖区项目资金使用管理办法</w:t>
      </w:r>
      <w:r>
        <w:rPr>
          <w:rFonts w:hint="eastAsia" w:ascii="仿宋_GB2312" w:hAnsi="仿宋_GB2312" w:eastAsia="仿宋_GB2312" w:cs="仿宋_GB2312"/>
          <w:color w:val="auto"/>
          <w:sz w:val="32"/>
          <w:szCs w:val="32"/>
          <w:highlight w:val="none"/>
        </w:rPr>
        <w:t>的要求</w:t>
      </w:r>
      <w:r>
        <w:rPr>
          <w:rFonts w:hint="eastAsia" w:ascii="仿宋_GB2312" w:hAnsi="仿宋_GB2312" w:eastAsia="仿宋_GB2312" w:cs="仿宋_GB2312"/>
          <w:color w:val="auto"/>
          <w:sz w:val="32"/>
          <w:szCs w:val="32"/>
          <w:highlight w:val="none"/>
          <w:lang w:val="en-US" w:eastAsia="zh-CN"/>
        </w:rPr>
        <w:t>,以实报实销制度为标准,</w:t>
      </w:r>
      <w:r>
        <w:rPr>
          <w:rFonts w:hint="eastAsia" w:ascii="仿宋_GB2312" w:hAnsi="仿宋_GB2312" w:eastAsia="仿宋_GB2312" w:cs="仿宋_GB2312"/>
          <w:color w:val="auto"/>
          <w:sz w:val="32"/>
          <w:szCs w:val="32"/>
          <w:highlight w:val="none"/>
        </w:rPr>
        <w:t>进行业务规范管理。依据评分标准，该指标得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制度</w:t>
      </w:r>
      <w:r>
        <w:rPr>
          <w:rFonts w:hint="eastAsia" w:ascii="仿宋_GB2312" w:hAnsi="仿宋_GB2312" w:eastAsia="仿宋_GB2312" w:cs="仿宋_GB2312"/>
          <w:color w:val="auto"/>
          <w:sz w:val="32"/>
          <w:szCs w:val="32"/>
          <w:highlight w:val="none"/>
        </w:rPr>
        <w:t>执行有效性：</w:t>
      </w:r>
      <w:r>
        <w:rPr>
          <w:rFonts w:hint="eastAsia" w:ascii="仿宋_GB2312" w:hAnsi="仿宋_GB2312" w:eastAsia="仿宋_GB2312" w:cs="仿宋_GB2312"/>
          <w:color w:val="auto"/>
          <w:sz w:val="32"/>
          <w:szCs w:val="32"/>
          <w:highlight w:val="none"/>
          <w:lang w:val="en-US" w:eastAsia="zh-CN"/>
        </w:rPr>
        <w:t>本单位“城管执法规范化建设经费”项目统一管理，此项目</w:t>
      </w:r>
      <w:r>
        <w:rPr>
          <w:rFonts w:hint="eastAsia" w:ascii="仿宋_GB2312" w:hAnsi="仿宋_GB2312" w:eastAsia="仿宋_GB2312" w:cs="仿宋_GB2312"/>
          <w:color w:val="auto"/>
          <w:sz w:val="32"/>
          <w:szCs w:val="32"/>
          <w:highlight w:val="none"/>
        </w:rPr>
        <w:t>严格遵守，执行有效。依据评分标准，该指标得3分。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（三）项目产出情况</w:t>
      </w:r>
    </w:p>
    <w:p>
      <w:pPr>
        <w:pStyle w:val="12"/>
        <w:spacing w:line="360" w:lineRule="auto"/>
        <w:ind w:left="0" w:leftChars="0" w:firstLine="643"/>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val="en-US" w:eastAsia="zh-CN"/>
        </w:rPr>
        <w:t>产出</w:t>
      </w:r>
      <w:r>
        <w:rPr>
          <w:rFonts w:hint="eastAsia" w:ascii="仿宋_GB2312" w:hAnsi="仿宋_GB2312" w:eastAsia="仿宋_GB2312" w:cs="仿宋_GB2312"/>
          <w:b/>
          <w:bCs/>
          <w:color w:val="auto"/>
          <w:sz w:val="32"/>
          <w:szCs w:val="32"/>
          <w:highlight w:val="none"/>
        </w:rPr>
        <w:t>数量指标（10分）</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执法中队＝1个，达标，</w:t>
      </w:r>
      <w:r>
        <w:rPr>
          <w:rFonts w:hint="eastAsia" w:ascii="仿宋_GB2312" w:hAnsi="仿宋_GB2312" w:eastAsia="仿宋_GB2312" w:cs="仿宋_GB2312"/>
          <w:color w:val="auto"/>
          <w:sz w:val="32"/>
          <w:szCs w:val="32"/>
          <w:highlight w:val="none"/>
          <w:lang w:val="en-US" w:eastAsia="zh-CN"/>
        </w:rPr>
        <w:t>评分10分</w:t>
      </w:r>
    </w:p>
    <w:p>
      <w:pPr>
        <w:spacing w:line="360" w:lineRule="auto"/>
        <w:ind w:firstLine="643" w:firstLineChars="200"/>
        <w:jc w:val="lef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2.产出</w:t>
      </w:r>
      <w:r>
        <w:rPr>
          <w:rFonts w:hint="eastAsia" w:ascii="仿宋_GB2312" w:hAnsi="仿宋_GB2312" w:eastAsia="仿宋_GB2312" w:cs="仿宋_GB2312"/>
          <w:b/>
          <w:bCs/>
          <w:color w:val="auto"/>
          <w:sz w:val="32"/>
          <w:szCs w:val="32"/>
          <w:highlight w:val="none"/>
        </w:rPr>
        <w:t>质量指标（10分）</w:t>
      </w:r>
    </w:p>
    <w:p>
      <w:pPr>
        <w:spacing w:line="360" w:lineRule="auto"/>
        <w:ind w:firstLine="320" w:firstLineChars="1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rPr>
        <w:t>建设达标</w:t>
      </w:r>
      <w:r>
        <w:rPr>
          <w:rFonts w:hint="eastAsia" w:ascii="仿宋_GB2312" w:hAnsi="仿宋_GB2312" w:eastAsia="仿宋_GB2312" w:cs="仿宋_GB2312"/>
          <w:color w:val="auto"/>
          <w:kern w:val="0"/>
          <w:sz w:val="32"/>
          <w:szCs w:val="32"/>
          <w:highlight w:val="none"/>
          <w:lang w:val="en-US" w:eastAsia="zh-CN"/>
        </w:rPr>
        <w:t>为优秀</w:t>
      </w:r>
      <w:r>
        <w:rPr>
          <w:rFonts w:hint="eastAsia" w:ascii="仿宋_GB2312" w:hAnsi="仿宋_GB2312" w:eastAsia="仿宋_GB2312" w:cs="仿宋_GB2312"/>
          <w:color w:val="auto"/>
          <w:kern w:val="0"/>
          <w:sz w:val="32"/>
          <w:szCs w:val="32"/>
          <w:highlight w:val="none"/>
          <w:lang w:val="en-US"/>
        </w:rPr>
        <w:t>。</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 xml:space="preserve">依据评分标准，得10分。 </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3.产生</w:t>
      </w:r>
      <w:r>
        <w:rPr>
          <w:rFonts w:hint="eastAsia" w:ascii="仿宋_GB2312" w:hAnsi="仿宋_GB2312" w:eastAsia="仿宋_GB2312" w:cs="仿宋_GB2312"/>
          <w:b/>
          <w:bCs/>
          <w:color w:val="auto"/>
          <w:sz w:val="32"/>
          <w:szCs w:val="32"/>
          <w:highlight w:val="none"/>
        </w:rPr>
        <w:t>时效指标（</w:t>
      </w:r>
      <w:r>
        <w:rPr>
          <w:rFonts w:hint="eastAsia" w:ascii="仿宋_GB2312" w:hAnsi="仿宋_GB2312" w:eastAsia="仿宋_GB2312" w:cs="仿宋_GB2312"/>
          <w:b/>
          <w:bCs/>
          <w:color w:val="auto"/>
          <w:sz w:val="32"/>
          <w:szCs w:val="32"/>
          <w:highlight w:val="none"/>
          <w:lang w:val="en-US" w:eastAsia="zh-CN"/>
        </w:rPr>
        <w:t>10</w:t>
      </w:r>
      <w:r>
        <w:rPr>
          <w:rFonts w:hint="eastAsia" w:ascii="仿宋_GB2312" w:hAnsi="仿宋_GB2312" w:eastAsia="仿宋_GB2312" w:cs="仿宋_GB2312"/>
          <w:b/>
          <w:bCs/>
          <w:color w:val="auto"/>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eastAsia="zh-CN"/>
        </w:rPr>
        <w:t>建设时效为按时</w:t>
      </w:r>
      <w:r>
        <w:rPr>
          <w:rFonts w:hint="eastAsia" w:ascii="仿宋_GB2312" w:hAnsi="仿宋_GB2312" w:eastAsia="仿宋_GB2312" w:cs="仿宋_GB2312"/>
          <w:color w:val="auto"/>
          <w:kern w:val="0"/>
          <w:sz w:val="32"/>
          <w:szCs w:val="32"/>
          <w:highlight w:val="none"/>
          <w:lang w:val="en-US"/>
        </w:rPr>
        <w:t>。</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依据评分标准，得10分。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4.产出</w:t>
      </w:r>
      <w:r>
        <w:rPr>
          <w:rFonts w:hint="eastAsia" w:ascii="仿宋_GB2312" w:hAnsi="仿宋_GB2312" w:eastAsia="仿宋_GB2312" w:cs="仿宋_GB2312"/>
          <w:b/>
          <w:bCs/>
          <w:color w:val="auto"/>
          <w:sz w:val="32"/>
          <w:szCs w:val="32"/>
          <w:highlight w:val="none"/>
        </w:rPr>
        <w:t>成本</w:t>
      </w:r>
      <w:r>
        <w:rPr>
          <w:rFonts w:hint="eastAsia" w:ascii="仿宋_GB2312" w:hAnsi="仿宋_GB2312" w:eastAsia="仿宋_GB2312" w:cs="仿宋_GB2312"/>
          <w:b/>
          <w:bCs/>
          <w:color w:val="auto"/>
          <w:sz w:val="32"/>
          <w:szCs w:val="32"/>
          <w:highlight w:val="none"/>
          <w:lang w:val="en-US" w:eastAsia="zh-CN"/>
        </w:rPr>
        <w:t>指标</w:t>
      </w:r>
      <w:r>
        <w:rPr>
          <w:rFonts w:hint="eastAsia" w:ascii="仿宋_GB2312" w:hAnsi="仿宋_GB2312" w:eastAsia="仿宋_GB2312" w:cs="仿宋_GB2312"/>
          <w:b/>
          <w:bCs/>
          <w:color w:val="auto"/>
          <w:sz w:val="32"/>
          <w:szCs w:val="32"/>
          <w:highlight w:val="none"/>
        </w:rPr>
        <w:t>（10分）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项目资金</w:t>
      </w:r>
      <w:r>
        <w:rPr>
          <w:rFonts w:hint="eastAsia" w:ascii="仿宋_GB2312" w:hAnsi="仿宋_GB2312" w:eastAsia="仿宋_GB2312" w:cs="仿宋_GB2312"/>
          <w:color w:val="auto"/>
          <w:sz w:val="32"/>
          <w:szCs w:val="32"/>
          <w:highlight w:val="none"/>
          <w:lang w:val="en-US" w:eastAsia="zh-CN"/>
        </w:rPr>
        <w:t>到位11.45万</w:t>
      </w:r>
      <w:r>
        <w:rPr>
          <w:rFonts w:hint="eastAsia" w:ascii="仿宋_GB2312" w:hAnsi="仿宋_GB2312" w:eastAsia="仿宋_GB2312" w:cs="仿宋_GB2312"/>
          <w:color w:val="auto"/>
          <w:sz w:val="32"/>
          <w:szCs w:val="32"/>
          <w:highlight w:val="none"/>
        </w:rPr>
        <w:t>，实际完成值为</w:t>
      </w:r>
      <w:r>
        <w:rPr>
          <w:rFonts w:hint="eastAsia" w:ascii="仿宋_GB2312" w:hAnsi="仿宋_GB2312" w:eastAsia="仿宋_GB2312" w:cs="仿宋_GB2312"/>
          <w:color w:val="auto"/>
          <w:sz w:val="32"/>
          <w:szCs w:val="32"/>
          <w:highlight w:val="none"/>
          <w:lang w:val="en-US" w:eastAsia="zh-CN"/>
        </w:rPr>
        <w:t>11.15万</w:t>
      </w:r>
      <w:r>
        <w:rPr>
          <w:rFonts w:hint="eastAsia" w:ascii="仿宋_GB2312" w:hAnsi="仿宋_GB2312" w:eastAsia="仿宋_GB2312" w:cs="仿宋_GB2312"/>
          <w:color w:val="auto"/>
          <w:sz w:val="32"/>
          <w:szCs w:val="32"/>
          <w:highlight w:val="none"/>
        </w:rPr>
        <w:t>元。</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sz w:val="32"/>
          <w:szCs w:val="32"/>
          <w:highlight w:val="none"/>
        </w:rPr>
        <w:t>依据评分标准，得分</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（四）项目效益情况。</w:t>
      </w:r>
    </w:p>
    <w:p>
      <w:pPr>
        <w:pStyle w:val="12"/>
        <w:spacing w:line="360" w:lineRule="auto"/>
        <w:ind w:left="638" w:leftChars="304" w:firstLine="0" w:firstLineChars="0"/>
        <w:rPr>
          <w:rFonts w:hint="eastAsia" w:ascii="仿宋_GB2312" w:hAnsi="仿宋_GB2312" w:eastAsia="仿宋_GB2312" w:cs="仿宋_GB2312"/>
          <w:color w:val="auto"/>
          <w:kern w:val="0"/>
          <w:sz w:val="32"/>
          <w:szCs w:val="32"/>
          <w:highlight w:val="none"/>
          <w:lang w:val="en-US"/>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社会效益（</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r>
        <w:rPr>
          <w:rFonts w:ascii="宋体" w:hAnsi="宋体" w:eastAsia="宋体" w:cs="宋体"/>
          <w:sz w:val="24"/>
          <w:szCs w:val="24"/>
          <w:highlight w:val="none"/>
        </w:rPr>
        <w:br w:type="textWrapping"/>
      </w:r>
      <w:r>
        <w:rPr>
          <w:rFonts w:hint="eastAsia" w:ascii="仿宋_GB2312" w:hAnsi="仿宋_GB2312" w:eastAsia="仿宋_GB2312" w:cs="仿宋_GB2312"/>
          <w:color w:val="auto"/>
          <w:kern w:val="0"/>
          <w:sz w:val="32"/>
          <w:szCs w:val="32"/>
          <w:highlight w:val="none"/>
          <w:lang w:val="en-US"/>
        </w:rPr>
        <w:t>执法中队服务水平</w:t>
      </w:r>
      <w:r>
        <w:rPr>
          <w:rFonts w:hint="eastAsia" w:ascii="仿宋_GB2312" w:hAnsi="仿宋_GB2312" w:cs="仿宋_GB2312"/>
          <w:color w:val="auto"/>
          <w:kern w:val="0"/>
          <w:sz w:val="32"/>
          <w:szCs w:val="32"/>
          <w:highlight w:val="none"/>
          <w:lang w:val="en-US" w:eastAsia="zh-CN"/>
        </w:rPr>
        <w:t>为有所提升</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rPr>
        <w:t>依据评分标准，得</w:t>
      </w:r>
      <w:r>
        <w:rPr>
          <w:rFonts w:hint="eastAsia" w:ascii="仿宋_GB2312" w:hAnsi="仿宋_GB2312" w:cs="仿宋_GB2312"/>
          <w:color w:val="auto"/>
          <w:kern w:val="0"/>
          <w:sz w:val="32"/>
          <w:szCs w:val="32"/>
          <w:highlight w:val="none"/>
          <w:lang w:val="en-US" w:eastAsia="zh-CN"/>
        </w:rPr>
        <w:t>14</w:t>
      </w:r>
      <w:r>
        <w:rPr>
          <w:rFonts w:hint="eastAsia" w:ascii="仿宋_GB2312" w:hAnsi="仿宋_GB2312" w:eastAsia="仿宋_GB2312" w:cs="仿宋_GB2312"/>
          <w:color w:val="auto"/>
          <w:kern w:val="0"/>
          <w:sz w:val="32"/>
          <w:szCs w:val="32"/>
          <w:highlight w:val="none"/>
          <w:lang w:val="en-US"/>
        </w:rPr>
        <w:t>分。</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可持续影响指标（</w:t>
      </w:r>
      <w:r>
        <w:rPr>
          <w:rFonts w:hint="eastAsia" w:ascii="仿宋_GB2312" w:hAnsi="仿宋_GB2312" w:eastAsia="仿宋_GB2312" w:cs="仿宋_GB2312"/>
          <w:b/>
          <w:bCs/>
          <w:color w:val="auto"/>
          <w:sz w:val="32"/>
          <w:szCs w:val="32"/>
          <w:highlight w:val="none"/>
          <w:lang w:val="en-US" w:eastAsia="zh-CN"/>
        </w:rPr>
        <w:t>15</w:t>
      </w:r>
      <w:r>
        <w:rPr>
          <w:rFonts w:hint="eastAsia" w:ascii="仿宋_GB2312" w:hAnsi="仿宋_GB2312" w:eastAsia="仿宋_GB2312" w:cs="仿宋_GB2312"/>
          <w:b/>
          <w:bCs/>
          <w:color w:val="auto"/>
          <w:sz w:val="32"/>
          <w:szCs w:val="32"/>
          <w:highlight w:val="none"/>
        </w:rPr>
        <w:t>分）</w:t>
      </w:r>
    </w:p>
    <w:p>
      <w:pPr>
        <w:pStyle w:val="16"/>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可持续影响指标基本达成目标，</w:t>
      </w:r>
      <w:r>
        <w:rPr>
          <w:rFonts w:hint="eastAsia" w:ascii="仿宋_GB2312" w:hAnsi="仿宋_GB2312" w:eastAsia="仿宋_GB2312" w:cs="仿宋_GB2312"/>
          <w:color w:val="auto"/>
          <w:sz w:val="32"/>
          <w:szCs w:val="32"/>
          <w:highlight w:val="none"/>
        </w:rPr>
        <w:t>依据评分标准，得</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分。</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五、主要经验及做法、存在的问题及原因分析</w:t>
      </w:r>
    </w:p>
    <w:p>
      <w:pPr>
        <w:pStyle w:val="10"/>
        <w:spacing w:line="360" w:lineRule="auto"/>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（一）</w:t>
      </w:r>
      <w:r>
        <w:rPr>
          <w:rFonts w:hint="eastAsia" w:ascii="楷体_GB2312" w:hAnsi="楷体_GB2312" w:eastAsia="楷体_GB2312" w:cs="楷体_GB2312"/>
          <w:color w:val="auto"/>
          <w:sz w:val="32"/>
          <w:szCs w:val="32"/>
          <w:highlight w:val="none"/>
        </w:rPr>
        <w:t>主要经验及做法</w:t>
      </w:r>
    </w:p>
    <w:p>
      <w:pPr>
        <w:pStyle w:val="4"/>
        <w:ind w:firstLine="640" w:firstLineChars="200"/>
        <w:rPr>
          <w:rFonts w:hint="eastAsia" w:ascii="仿宋_GB2312" w:hAnsi="仿宋_GB2312" w:eastAsia="仿宋_GB2312" w:cs="仿宋_GB2312"/>
          <w:b w:val="0"/>
          <w:color w:val="auto"/>
          <w:sz w:val="32"/>
          <w:szCs w:val="32"/>
          <w:highlight w:val="none"/>
          <w:lang w:val="en-US" w:eastAsia="zh-CN"/>
        </w:rPr>
      </w:pPr>
      <w:r>
        <w:rPr>
          <w:rFonts w:hint="eastAsia" w:ascii="仿宋_GB2312" w:hAnsi="仿宋_GB2312" w:eastAsia="仿宋_GB2312" w:cs="仿宋_GB2312"/>
          <w:b w:val="0"/>
          <w:color w:val="auto"/>
          <w:sz w:val="32"/>
          <w:szCs w:val="32"/>
          <w:highlight w:val="none"/>
        </w:rPr>
        <w:t>1.按照厉行节约、量入为出原则</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认真做好部门收支预算编制工作，做到收支平衡、不留缺口，做到保证重点、统筹兼顾，有效压缩和降低行政成本，合理安排经费，进一步提高预算编制的科学化、精细化水平。</w:t>
      </w:r>
    </w:p>
    <w:p>
      <w:pPr>
        <w:pStyle w:val="4"/>
        <w:ind w:firstLine="640" w:firstLineChars="2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2.监督关卡前移，充分发挥财务监督职能</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严格把关，进一步明确财务制度，做到经济业务合规性和合法性，按照财经法规和财务制度报账，全面审核各类原始凭证，保证其真实性、合法性与完整性，避免盲目性和无计划性使用公用经费。不断规范经济业务行为，完善财务审批手续，规范财务报销程序，促进对财务活动重要环节的控制和管理，逐步推进财务管理规范化。</w:t>
      </w:r>
    </w:p>
    <w:p>
      <w:pPr>
        <w:pStyle w:val="10"/>
        <w:spacing w:line="360" w:lineRule="auto"/>
        <w:ind w:firstLine="640" w:firstLineChars="200"/>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（二）存在的问题及原因分析</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受单位业务人员专业能力所限，需进一步加强绩效评价能力建设，充分发挥绩效评价以评促管效能，切实提高绩效意识和财政资金使用效益。</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六、有关建议</w:t>
      </w:r>
    </w:p>
    <w:p>
      <w:pPr>
        <w:spacing w:line="360" w:lineRule="auto"/>
        <w:ind w:firstLine="640" w:firstLineChars="20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强化项目资金管理，提高资金使用率。加强项目资金日常监督管理，从项目申报、事中监管、事后评价着手，完善项目资金全项目、全资金、全流程的全面监督和管理。</w:t>
      </w:r>
    </w:p>
    <w:p>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七、其他需要说明的问题</w:t>
      </w:r>
    </w:p>
    <w:p>
      <w:pPr>
        <w:spacing w:line="360" w:lineRule="auto"/>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无</w:t>
      </w:r>
    </w:p>
    <w:p>
      <w:pPr>
        <w:pStyle w:val="12"/>
        <w:spacing w:line="360" w:lineRule="auto"/>
        <w:ind w:firstLine="640"/>
        <w:rPr>
          <w:rFonts w:hint="eastAsia" w:ascii="仿宋_GB2312" w:hAnsi="仿宋_GB2312" w:eastAsia="仿宋_GB2312" w:cs="仿宋_GB2312"/>
          <w:color w:val="auto"/>
          <w:sz w:val="32"/>
          <w:szCs w:val="32"/>
          <w:highlight w:val="none"/>
        </w:rPr>
      </w:pPr>
    </w:p>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44B78"/>
    <w:multiLevelType w:val="singleLevel"/>
    <w:tmpl w:val="98C44B78"/>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ZTYxMWExODJiNTI0NjVmMmQ3YTNkMDVjOGE4YzQifQ=="/>
  </w:docVars>
  <w:rsids>
    <w:rsidRoot w:val="00C05BA1"/>
    <w:rsid w:val="00184C5E"/>
    <w:rsid w:val="00326B15"/>
    <w:rsid w:val="0046087A"/>
    <w:rsid w:val="00C05BA1"/>
    <w:rsid w:val="018F2A41"/>
    <w:rsid w:val="023A2E4D"/>
    <w:rsid w:val="02A93B2F"/>
    <w:rsid w:val="02DC57FB"/>
    <w:rsid w:val="03004097"/>
    <w:rsid w:val="03483348"/>
    <w:rsid w:val="03597303"/>
    <w:rsid w:val="03EC0177"/>
    <w:rsid w:val="03FA2317"/>
    <w:rsid w:val="040E769E"/>
    <w:rsid w:val="0414147C"/>
    <w:rsid w:val="043F299D"/>
    <w:rsid w:val="044E2BE0"/>
    <w:rsid w:val="04D07A99"/>
    <w:rsid w:val="04E951E7"/>
    <w:rsid w:val="05137986"/>
    <w:rsid w:val="05D13C9E"/>
    <w:rsid w:val="05EF03F3"/>
    <w:rsid w:val="05F5633C"/>
    <w:rsid w:val="065344DE"/>
    <w:rsid w:val="0658150A"/>
    <w:rsid w:val="07EC2E20"/>
    <w:rsid w:val="08585DDB"/>
    <w:rsid w:val="086C5D2B"/>
    <w:rsid w:val="0902043D"/>
    <w:rsid w:val="099A0675"/>
    <w:rsid w:val="0A125A7C"/>
    <w:rsid w:val="0A5470C9"/>
    <w:rsid w:val="0A7965AE"/>
    <w:rsid w:val="0B52745A"/>
    <w:rsid w:val="0B9C6927"/>
    <w:rsid w:val="0C4641CD"/>
    <w:rsid w:val="0D2E35AF"/>
    <w:rsid w:val="0D511890"/>
    <w:rsid w:val="0D8E229F"/>
    <w:rsid w:val="0DC573BC"/>
    <w:rsid w:val="0DEB1C5C"/>
    <w:rsid w:val="0E0B7D94"/>
    <w:rsid w:val="0E25520E"/>
    <w:rsid w:val="0E286250"/>
    <w:rsid w:val="0E6F39A4"/>
    <w:rsid w:val="0E8A6967"/>
    <w:rsid w:val="0EA93835"/>
    <w:rsid w:val="0F9A7933"/>
    <w:rsid w:val="10B61C33"/>
    <w:rsid w:val="11160D04"/>
    <w:rsid w:val="117B6FDE"/>
    <w:rsid w:val="11AB1672"/>
    <w:rsid w:val="12443874"/>
    <w:rsid w:val="12445F5B"/>
    <w:rsid w:val="13266183"/>
    <w:rsid w:val="13A72EEF"/>
    <w:rsid w:val="144B2C98"/>
    <w:rsid w:val="14D044E2"/>
    <w:rsid w:val="15131422"/>
    <w:rsid w:val="16F5338F"/>
    <w:rsid w:val="173C1F7C"/>
    <w:rsid w:val="175A0C63"/>
    <w:rsid w:val="175D0DC0"/>
    <w:rsid w:val="19D83AF9"/>
    <w:rsid w:val="1A4D082F"/>
    <w:rsid w:val="1A606D71"/>
    <w:rsid w:val="1A644AB4"/>
    <w:rsid w:val="1AD250C0"/>
    <w:rsid w:val="1B157B5C"/>
    <w:rsid w:val="1B2F2F1A"/>
    <w:rsid w:val="1BEA548C"/>
    <w:rsid w:val="1D483EB2"/>
    <w:rsid w:val="1D5030CD"/>
    <w:rsid w:val="1D7B1D63"/>
    <w:rsid w:val="1DE41553"/>
    <w:rsid w:val="1E0068A1"/>
    <w:rsid w:val="1E39096C"/>
    <w:rsid w:val="1E6F1C79"/>
    <w:rsid w:val="1EDA17E8"/>
    <w:rsid w:val="1F426157"/>
    <w:rsid w:val="1F8B688A"/>
    <w:rsid w:val="208A4B48"/>
    <w:rsid w:val="21B75E11"/>
    <w:rsid w:val="21C916A0"/>
    <w:rsid w:val="22025A4F"/>
    <w:rsid w:val="225C4425"/>
    <w:rsid w:val="22703BBB"/>
    <w:rsid w:val="22F34C27"/>
    <w:rsid w:val="236478D2"/>
    <w:rsid w:val="239E0527"/>
    <w:rsid w:val="23CF0B19"/>
    <w:rsid w:val="24033901"/>
    <w:rsid w:val="242B4894"/>
    <w:rsid w:val="244C69C1"/>
    <w:rsid w:val="24B86128"/>
    <w:rsid w:val="24C230CD"/>
    <w:rsid w:val="25341526"/>
    <w:rsid w:val="259F7550"/>
    <w:rsid w:val="25D16D75"/>
    <w:rsid w:val="260F621B"/>
    <w:rsid w:val="26751DF6"/>
    <w:rsid w:val="26B40B71"/>
    <w:rsid w:val="281A2C55"/>
    <w:rsid w:val="29B65CF7"/>
    <w:rsid w:val="29EE7EF6"/>
    <w:rsid w:val="2ABD1FE8"/>
    <w:rsid w:val="2AC35764"/>
    <w:rsid w:val="2ADB2B70"/>
    <w:rsid w:val="2AEB3B6B"/>
    <w:rsid w:val="2AEC4CF5"/>
    <w:rsid w:val="2B004385"/>
    <w:rsid w:val="2B2F4C6A"/>
    <w:rsid w:val="2BB807BB"/>
    <w:rsid w:val="2BBF484B"/>
    <w:rsid w:val="2C9A25B7"/>
    <w:rsid w:val="2CAD7CF6"/>
    <w:rsid w:val="2CC500C4"/>
    <w:rsid w:val="2CE13D42"/>
    <w:rsid w:val="2DAA4A7C"/>
    <w:rsid w:val="2DB651CE"/>
    <w:rsid w:val="2E187C37"/>
    <w:rsid w:val="2E3837C9"/>
    <w:rsid w:val="2E9F2F97"/>
    <w:rsid w:val="2F3E7229"/>
    <w:rsid w:val="300E30A0"/>
    <w:rsid w:val="3025488D"/>
    <w:rsid w:val="308B0B94"/>
    <w:rsid w:val="30C27F86"/>
    <w:rsid w:val="30F717EE"/>
    <w:rsid w:val="31466869"/>
    <w:rsid w:val="314B1BB3"/>
    <w:rsid w:val="3216132F"/>
    <w:rsid w:val="32A94EBB"/>
    <w:rsid w:val="32F472C6"/>
    <w:rsid w:val="333675CB"/>
    <w:rsid w:val="33813B85"/>
    <w:rsid w:val="34956489"/>
    <w:rsid w:val="34CE54F3"/>
    <w:rsid w:val="352A3E47"/>
    <w:rsid w:val="355D42C5"/>
    <w:rsid w:val="35610116"/>
    <w:rsid w:val="3586192A"/>
    <w:rsid w:val="35EA13E5"/>
    <w:rsid w:val="360C0B3D"/>
    <w:rsid w:val="368A369C"/>
    <w:rsid w:val="373D3AB5"/>
    <w:rsid w:val="37DC1CD5"/>
    <w:rsid w:val="39030CF9"/>
    <w:rsid w:val="393A4F06"/>
    <w:rsid w:val="39873EC3"/>
    <w:rsid w:val="399137B5"/>
    <w:rsid w:val="39970D4E"/>
    <w:rsid w:val="3A137505"/>
    <w:rsid w:val="3A6C5593"/>
    <w:rsid w:val="3ACE7FFB"/>
    <w:rsid w:val="3B44206B"/>
    <w:rsid w:val="3B820DE6"/>
    <w:rsid w:val="3BBD4BA0"/>
    <w:rsid w:val="3D2C2DB7"/>
    <w:rsid w:val="3D313049"/>
    <w:rsid w:val="3D346110"/>
    <w:rsid w:val="3D4D1A1C"/>
    <w:rsid w:val="3D96660D"/>
    <w:rsid w:val="3E3207F4"/>
    <w:rsid w:val="3E9C5D1B"/>
    <w:rsid w:val="3EDF3E59"/>
    <w:rsid w:val="3F236EEC"/>
    <w:rsid w:val="3F583BD9"/>
    <w:rsid w:val="3F724CCD"/>
    <w:rsid w:val="3FD506BF"/>
    <w:rsid w:val="40556AC9"/>
    <w:rsid w:val="40827192"/>
    <w:rsid w:val="409A272E"/>
    <w:rsid w:val="40EB11DB"/>
    <w:rsid w:val="40F40090"/>
    <w:rsid w:val="413726AF"/>
    <w:rsid w:val="41626179"/>
    <w:rsid w:val="41F320F5"/>
    <w:rsid w:val="42064F0C"/>
    <w:rsid w:val="428C60A6"/>
    <w:rsid w:val="43571C4A"/>
    <w:rsid w:val="43BE6733"/>
    <w:rsid w:val="44A75419"/>
    <w:rsid w:val="451F2D58"/>
    <w:rsid w:val="455B1991"/>
    <w:rsid w:val="45965BB9"/>
    <w:rsid w:val="45D73ADC"/>
    <w:rsid w:val="460078DF"/>
    <w:rsid w:val="462E5DF2"/>
    <w:rsid w:val="46E75FA1"/>
    <w:rsid w:val="473D3E13"/>
    <w:rsid w:val="474358CD"/>
    <w:rsid w:val="47FB1024"/>
    <w:rsid w:val="487D6BBD"/>
    <w:rsid w:val="490177EE"/>
    <w:rsid w:val="4AA04DE4"/>
    <w:rsid w:val="4B043919"/>
    <w:rsid w:val="4B2B2900"/>
    <w:rsid w:val="4B594A85"/>
    <w:rsid w:val="4BB9615E"/>
    <w:rsid w:val="4CA20751"/>
    <w:rsid w:val="4CEB427D"/>
    <w:rsid w:val="4CFA2A94"/>
    <w:rsid w:val="4D151ABA"/>
    <w:rsid w:val="4D2A6BE7"/>
    <w:rsid w:val="4DB2730D"/>
    <w:rsid w:val="4DBF1A26"/>
    <w:rsid w:val="4E290021"/>
    <w:rsid w:val="4E3A43C4"/>
    <w:rsid w:val="4E8C7B5A"/>
    <w:rsid w:val="4EEC4CDB"/>
    <w:rsid w:val="4F4F0B87"/>
    <w:rsid w:val="4F5543EF"/>
    <w:rsid w:val="4F7725B8"/>
    <w:rsid w:val="4F947DF8"/>
    <w:rsid w:val="4FA63B31"/>
    <w:rsid w:val="4FE15C83"/>
    <w:rsid w:val="50100316"/>
    <w:rsid w:val="502B148B"/>
    <w:rsid w:val="505F5AEB"/>
    <w:rsid w:val="507F63E0"/>
    <w:rsid w:val="50AF7B2F"/>
    <w:rsid w:val="51257DF2"/>
    <w:rsid w:val="51E7154B"/>
    <w:rsid w:val="526B217C"/>
    <w:rsid w:val="52800586"/>
    <w:rsid w:val="52EC2B8F"/>
    <w:rsid w:val="52FC500C"/>
    <w:rsid w:val="536335DE"/>
    <w:rsid w:val="537B019D"/>
    <w:rsid w:val="539574B0"/>
    <w:rsid w:val="545033D7"/>
    <w:rsid w:val="54DF6268"/>
    <w:rsid w:val="55061CE8"/>
    <w:rsid w:val="55D06744"/>
    <w:rsid w:val="56A30136"/>
    <w:rsid w:val="56FF2E93"/>
    <w:rsid w:val="57BB319C"/>
    <w:rsid w:val="57D936E4"/>
    <w:rsid w:val="57F55AE4"/>
    <w:rsid w:val="57F612F5"/>
    <w:rsid w:val="58676BBF"/>
    <w:rsid w:val="58E42340"/>
    <w:rsid w:val="58E97957"/>
    <w:rsid w:val="5A082425"/>
    <w:rsid w:val="5A1D167E"/>
    <w:rsid w:val="5A5448AB"/>
    <w:rsid w:val="5AAB5A01"/>
    <w:rsid w:val="5ACF0CB4"/>
    <w:rsid w:val="5B1E422F"/>
    <w:rsid w:val="5B711492"/>
    <w:rsid w:val="5B9E0ECC"/>
    <w:rsid w:val="5D107BA8"/>
    <w:rsid w:val="5D292A17"/>
    <w:rsid w:val="5D8A795A"/>
    <w:rsid w:val="5F9105FD"/>
    <w:rsid w:val="5FE4097E"/>
    <w:rsid w:val="604458CE"/>
    <w:rsid w:val="604C539B"/>
    <w:rsid w:val="60C07B37"/>
    <w:rsid w:val="60FD6695"/>
    <w:rsid w:val="618446C0"/>
    <w:rsid w:val="618F1891"/>
    <w:rsid w:val="619D5782"/>
    <w:rsid w:val="61DE0274"/>
    <w:rsid w:val="623C07FC"/>
    <w:rsid w:val="623F0FB5"/>
    <w:rsid w:val="62A52B40"/>
    <w:rsid w:val="64CD45D0"/>
    <w:rsid w:val="64EC1BB0"/>
    <w:rsid w:val="6503698F"/>
    <w:rsid w:val="650E7457"/>
    <w:rsid w:val="656767D3"/>
    <w:rsid w:val="65BD4645"/>
    <w:rsid w:val="66873297"/>
    <w:rsid w:val="6780592A"/>
    <w:rsid w:val="67BB4BB4"/>
    <w:rsid w:val="67FA1B80"/>
    <w:rsid w:val="68D92CCD"/>
    <w:rsid w:val="69E93C5A"/>
    <w:rsid w:val="6A4A3D45"/>
    <w:rsid w:val="6A746532"/>
    <w:rsid w:val="6A890F99"/>
    <w:rsid w:val="6B7D19DD"/>
    <w:rsid w:val="6BAC3191"/>
    <w:rsid w:val="6BB81B36"/>
    <w:rsid w:val="6C975BF0"/>
    <w:rsid w:val="6D951507"/>
    <w:rsid w:val="6DC45080"/>
    <w:rsid w:val="6EF966EE"/>
    <w:rsid w:val="6F3846FB"/>
    <w:rsid w:val="702C6A17"/>
    <w:rsid w:val="70C04A83"/>
    <w:rsid w:val="70ED4030"/>
    <w:rsid w:val="70FA674D"/>
    <w:rsid w:val="71122145"/>
    <w:rsid w:val="71A1306D"/>
    <w:rsid w:val="71D15700"/>
    <w:rsid w:val="724A3704"/>
    <w:rsid w:val="725E4ABA"/>
    <w:rsid w:val="72D0364E"/>
    <w:rsid w:val="730B69EF"/>
    <w:rsid w:val="733F48EB"/>
    <w:rsid w:val="739500E1"/>
    <w:rsid w:val="73DC65DE"/>
    <w:rsid w:val="73F76F74"/>
    <w:rsid w:val="747F58E7"/>
    <w:rsid w:val="753D5927"/>
    <w:rsid w:val="75A03DE4"/>
    <w:rsid w:val="76193605"/>
    <w:rsid w:val="76E25746"/>
    <w:rsid w:val="76FC0093"/>
    <w:rsid w:val="77043E82"/>
    <w:rsid w:val="77367A6F"/>
    <w:rsid w:val="77B92EBE"/>
    <w:rsid w:val="77CE07D5"/>
    <w:rsid w:val="77EA247B"/>
    <w:rsid w:val="7961530E"/>
    <w:rsid w:val="79627149"/>
    <w:rsid w:val="79C37EE4"/>
    <w:rsid w:val="7A607BC4"/>
    <w:rsid w:val="7A9C2623"/>
    <w:rsid w:val="7AE62031"/>
    <w:rsid w:val="7B43191D"/>
    <w:rsid w:val="7B4C281E"/>
    <w:rsid w:val="7B7C7AD5"/>
    <w:rsid w:val="7B902188"/>
    <w:rsid w:val="7BA479E1"/>
    <w:rsid w:val="7CE24C65"/>
    <w:rsid w:val="7D092A55"/>
    <w:rsid w:val="7D19020A"/>
    <w:rsid w:val="7D7B49FF"/>
    <w:rsid w:val="7DBF0B02"/>
    <w:rsid w:val="7DD06266"/>
    <w:rsid w:val="7E322306"/>
    <w:rsid w:val="7E857014"/>
    <w:rsid w:val="7EA86028"/>
    <w:rsid w:val="7EAB3DC4"/>
    <w:rsid w:val="7EC14D4E"/>
    <w:rsid w:val="7F2A46A1"/>
    <w:rsid w:val="7FA610A8"/>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paragraph" w:styleId="2">
    <w:name w:val="heading 3"/>
    <w:basedOn w:val="1"/>
    <w:next w:val="1"/>
    <w:autoRedefine/>
    <w:qFormat/>
    <w:uiPriority w:val="0"/>
    <w:pPr>
      <w:keepNext/>
      <w:keepLines/>
      <w:spacing w:before="260" w:after="260" w:line="413" w:lineRule="auto"/>
      <w:outlineLvl w:val="2"/>
    </w:pPr>
    <w:rPr>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rPr>
      <w:rFonts w:ascii="Arial" w:hAnsi="Arial" w:eastAsia="黑体"/>
      <w:sz w:val="20"/>
    </w:rPr>
  </w:style>
  <w:style w:type="paragraph" w:styleId="4">
    <w:name w:val="Body Text"/>
    <w:basedOn w:val="1"/>
    <w:autoRedefine/>
    <w:qFormat/>
    <w:uiPriority w:val="0"/>
    <w:rPr>
      <w:b/>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Body Text First Indent"/>
    <w:basedOn w:val="4"/>
    <w:next w:val="1"/>
    <w:autoRedefine/>
    <w:unhideWhenUsed/>
    <w:qFormat/>
    <w:uiPriority w:val="0"/>
    <w:pPr>
      <w:spacing w:line="560" w:lineRule="exact"/>
      <w:ind w:firstLine="420" w:firstLineChars="100"/>
    </w:pPr>
    <w:rPr>
      <w:rFonts w:ascii="Times New Roman" w:hAnsi="Times New Roman" w:eastAsia="仿宋_GB2312" w:cs="Times New Roman"/>
      <w:sz w:val="32"/>
      <w:szCs w:val="24"/>
    </w:rPr>
  </w:style>
  <w:style w:type="paragraph" w:customStyle="1" w:styleId="10">
    <w:name w:val="纯文本1"/>
    <w:basedOn w:val="1"/>
    <w:autoRedefine/>
    <w:qFormat/>
    <w:uiPriority w:val="0"/>
    <w:rPr>
      <w:rFonts w:ascii="宋体" w:hAnsi="Courier New" w:cs="Courier New"/>
      <w:szCs w:val="21"/>
    </w:rPr>
  </w:style>
  <w:style w:type="paragraph" w:customStyle="1" w:styleId="11">
    <w:name w:val="普通(网站)1"/>
    <w:basedOn w:val="1"/>
    <w:autoRedefine/>
    <w:qFormat/>
    <w:uiPriority w:val="0"/>
    <w:pPr>
      <w:spacing w:beforeAutospacing="1" w:afterAutospacing="1"/>
      <w:jc w:val="left"/>
    </w:pPr>
    <w:rPr>
      <w:kern w:val="0"/>
      <w:sz w:val="24"/>
    </w:rPr>
  </w:style>
  <w:style w:type="paragraph" w:customStyle="1" w:styleId="12">
    <w:name w:val="正文首行缩进 21"/>
    <w:basedOn w:val="1"/>
    <w:autoRedefine/>
    <w:qFormat/>
    <w:uiPriority w:val="0"/>
    <w:pPr>
      <w:ind w:left="420" w:leftChars="200" w:firstLine="420" w:firstLineChars="200"/>
    </w:pPr>
    <w:rPr>
      <w:rFonts w:ascii="Times New Roman" w:hAnsi="Times New Roman" w:eastAsia="仿宋_GB2312"/>
      <w:sz w:val="30"/>
      <w:szCs w:val="30"/>
    </w:rPr>
  </w:style>
  <w:style w:type="paragraph" w:customStyle="1" w:styleId="13">
    <w:name w:val="Body Text First Indent 21"/>
    <w:autoRedefine/>
    <w:qFormat/>
    <w:uiPriority w:val="0"/>
    <w:pPr>
      <w:widowControl w:val="0"/>
      <w:ind w:left="420" w:firstLine="210"/>
      <w:jc w:val="both"/>
    </w:pPr>
    <w:rPr>
      <w:rFonts w:ascii="Calibri" w:hAnsi="Calibri" w:eastAsia="Times New Roman" w:cs="Calibri"/>
      <w:color w:val="000000"/>
      <w:kern w:val="2"/>
      <w:sz w:val="21"/>
      <w:szCs w:val="21"/>
      <w:lang w:val="en-US" w:eastAsia="zh-CN" w:bidi="ar-SA"/>
    </w:rPr>
  </w:style>
  <w:style w:type="paragraph" w:customStyle="1" w:styleId="14">
    <w:name w:val="列出段落1"/>
    <w:basedOn w:val="1"/>
    <w:autoRedefine/>
    <w:qFormat/>
    <w:uiPriority w:val="0"/>
    <w:pPr>
      <w:ind w:firstLine="420" w:firstLineChars="200"/>
    </w:pPr>
  </w:style>
  <w:style w:type="paragraph" w:customStyle="1" w:styleId="15">
    <w:name w:val="无间隔1"/>
    <w:autoRedefine/>
    <w:qFormat/>
    <w:uiPriority w:val="0"/>
    <w:pPr>
      <w:adjustRightInd w:val="0"/>
      <w:snapToGrid w:val="0"/>
    </w:pPr>
    <w:rPr>
      <w:rFonts w:ascii="Tahoma" w:hAnsi="Tahoma" w:eastAsia="微软雅黑" w:cs="Times New Roman"/>
      <w:sz w:val="22"/>
      <w:szCs w:val="22"/>
      <w:lang w:val="en-US" w:eastAsia="zh-CN" w:bidi="ar-SA"/>
    </w:rPr>
  </w:style>
  <w:style w:type="paragraph" w:customStyle="1" w:styleId="16">
    <w:name w:val="纯文本11"/>
    <w:basedOn w:val="1"/>
    <w:autoRedefine/>
    <w:qFormat/>
    <w:uiPriority w:val="0"/>
    <w:rPr>
      <w:rFonts w:hAnsi="Courier New" w:cs="Courier New"/>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3587</Words>
  <Characters>3793</Characters>
  <Lines>37</Lines>
  <Paragraphs>10</Paragraphs>
  <TotalTime>1</TotalTime>
  <ScaleCrop>false</ScaleCrop>
  <LinksUpToDate>false</LinksUpToDate>
  <CharactersWithSpaces>3814</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2021-03-25T19:27:00Z</dcterms:created>
  <dc:creator>Aallot</dc:creator>
  <cp:lastModifiedBy>徐斯佳</cp:lastModifiedBy>
  <cp:lastPrinted>2024-05-09T07:06:00Z</cp:lastPrinted>
  <dcterms:modified xsi:type="dcterms:W3CDTF">2026-04-30T08:19:21Z</dcterms:modified>
  <dc:title>admin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49C87474FC044E06853F166999182CA1_13</vt:lpwstr>
  </property>
  <property fmtid="{D5CDD505-2E9C-101B-9397-08002B2CF9AE}" pid="4" name="KSOTemplateDocerSaveRecord">
    <vt:lpwstr>eyJoZGlkIjoiMzEwNTM5NzYwMDRjMzkwZTVkZjY2ODkwMGIxNGU0OTUiLCJ1c2VySWQiOiI0ODU4MzY1NjIifQ==</vt:lpwstr>
  </property>
</Properties>
</file>