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方正小标宋简体" w:hAnsi="Times New Roman" w:eastAsia="方正小标宋简体" w:cs="FZXBSJW--GB1-0"/>
          <w:kern w:val="0"/>
          <w:sz w:val="36"/>
          <w:szCs w:val="36"/>
        </w:rPr>
      </w:pPr>
      <w:r>
        <w:drawing>
          <wp:anchor distT="0" distB="0" distL="0" distR="0" simplePos="0" relativeHeight="251659264" behindDoc="0" locked="0" layoutInCell="1" allowOverlap="1">
            <wp:simplePos x="0" y="0"/>
            <wp:positionH relativeFrom="column">
              <wp:posOffset>4286250</wp:posOffset>
            </wp:positionH>
            <wp:positionV relativeFrom="paragraph">
              <wp:posOffset>-7620</wp:posOffset>
            </wp:positionV>
            <wp:extent cx="1581150" cy="1574800"/>
            <wp:effectExtent l="0" t="0" r="6350" b="0"/>
            <wp:wrapNone/>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7"/>
                    <a:stretch>
                      <a:fillRect/>
                    </a:stretch>
                  </pic:blipFill>
                  <pic:spPr>
                    <a:xfrm>
                      <a:off x="0" y="0"/>
                      <a:ext cx="1581150" cy="1574800"/>
                    </a:xfrm>
                    <a:prstGeom prst="rect">
                      <a:avLst/>
                    </a:prstGeom>
                  </pic:spPr>
                </pic:pic>
              </a:graphicData>
            </a:graphic>
          </wp:anchor>
        </w:drawing>
      </w:r>
      <w:r>
        <w:rPr>
          <w:rFonts w:hint="eastAsia" w:ascii="方正小标宋简体" w:hAnsi="Times New Roman" w:eastAsia="方正小标宋简体" w:cs="FZXBSJW--GB1-0"/>
          <w:kern w:val="0"/>
          <w:sz w:val="36"/>
          <w:szCs w:val="36"/>
        </w:rPr>
        <w:t>南昌市东湖区人民政府董家窑街道办事处</w:t>
      </w:r>
    </w:p>
    <w:p>
      <w:pPr>
        <w:autoSpaceDE w:val="0"/>
        <w:autoSpaceDN w:val="0"/>
        <w:adjustRightInd w:val="0"/>
        <w:jc w:val="center"/>
        <w:rPr>
          <w:rFonts w:ascii="方正小标宋简体" w:hAnsi="Times New Roman" w:eastAsia="方正小标宋简体" w:cs="FZXBSJW--GB1-0"/>
          <w:kern w:val="0"/>
          <w:sz w:val="36"/>
          <w:szCs w:val="36"/>
        </w:rPr>
      </w:pPr>
      <w:r>
        <w:rPr>
          <w:rFonts w:hint="eastAsia" w:ascii="方正小标宋简体" w:hAnsi="Times New Roman" w:eastAsia="方正小标宋简体" w:cs="FZXBSJW--GB1-0"/>
          <w:kern w:val="0"/>
          <w:sz w:val="36"/>
          <w:szCs w:val="36"/>
        </w:rPr>
        <w:t>部门整体支出绩效自评报告</w:t>
      </w:r>
    </w:p>
    <w:p>
      <w:pPr>
        <w:autoSpaceDE w:val="0"/>
        <w:autoSpaceDN w:val="0"/>
        <w:adjustRightInd w:val="0"/>
        <w:jc w:val="center"/>
        <w:rPr>
          <w:rFonts w:ascii="楷体_GB2312" w:hAnsi="Times New Roman" w:eastAsia="楷体_GB2312" w:cs="楷体_GB2312"/>
          <w:kern w:val="0"/>
          <w:sz w:val="32"/>
          <w:szCs w:val="32"/>
        </w:rPr>
      </w:pPr>
      <w:r>
        <w:rPr>
          <w:rFonts w:hint="eastAsia" w:ascii="楷体_GB2312" w:hAnsi="Times New Roman" w:eastAsia="楷体_GB2312" w:cs="楷体_GB2312"/>
          <w:kern w:val="0"/>
          <w:sz w:val="32"/>
          <w:szCs w:val="32"/>
        </w:rPr>
        <w:t>（</w:t>
      </w:r>
      <w:r>
        <w:rPr>
          <w:rFonts w:hint="eastAsia" w:ascii="楷体_GB2312" w:hAnsi="Times New Roman" w:eastAsia="楷体_GB2312" w:cs="楷体_GB2312"/>
          <w:kern w:val="0"/>
          <w:sz w:val="32"/>
          <w:szCs w:val="32"/>
          <w:lang w:val="en-US" w:eastAsia="zh-CN"/>
        </w:rPr>
        <w:t>2025</w:t>
      </w:r>
      <w:r>
        <w:rPr>
          <w:rFonts w:hint="eastAsia" w:ascii="楷体_GB2312" w:hAnsi="Times New Roman" w:eastAsia="楷体_GB2312" w:cs="楷体_GB2312"/>
          <w:kern w:val="0"/>
          <w:sz w:val="32"/>
          <w:szCs w:val="32"/>
        </w:rPr>
        <w:t>年度）</w:t>
      </w:r>
    </w:p>
    <w:p>
      <w:pPr>
        <w:autoSpaceDE w:val="0"/>
        <w:autoSpaceDN w:val="0"/>
        <w:adjustRightInd w:val="0"/>
        <w:spacing w:line="240" w:lineRule="auto"/>
        <w:ind w:firstLine="640" w:firstLineChars="200"/>
        <w:jc w:val="left"/>
        <w:rPr>
          <w:rFonts w:ascii="仿宋" w:hAnsi="仿宋" w:eastAsia="仿宋" w:cs="仿宋"/>
          <w:b/>
          <w:bCs/>
          <w:color w:val="000000"/>
          <w:sz w:val="32"/>
          <w:szCs w:val="32"/>
        </w:rPr>
      </w:pPr>
      <w:r>
        <w:rPr>
          <w:rFonts w:hint="eastAsia" w:ascii="黑体" w:hAnsi="Times New Roman" w:eastAsia="黑体" w:cs="黑体"/>
          <w:kern w:val="0"/>
          <w:sz w:val="32"/>
          <w:szCs w:val="32"/>
          <w:lang w:val="en-US" w:eastAsia="zh-CN"/>
        </w:rPr>
        <w:t>一、</w:t>
      </w:r>
      <w:r>
        <w:rPr>
          <w:rFonts w:hint="eastAsia" w:ascii="黑体" w:hAnsi="Times New Roman" w:eastAsia="黑体" w:cs="黑体"/>
          <w:kern w:val="0"/>
          <w:sz w:val="32"/>
          <w:szCs w:val="32"/>
        </w:rPr>
        <w:t>部门概况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中共南昌市东湖区董家窑街道工作委员会（以下简称董家窑街道党工委）作为区委的派出机关，行使区委授权的职权，是辖区各项事业的领导核心；南昌市东湖区人民政府董家窑街道办事处（以下简称董家窑街办）作为区政府的派出机关，根据相关法律法规和区政府授权，履行相应的职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其主要职责：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（一）宣传、贯彻党和国家各级政府路线方针政策和法律法规，执行上级的决议决定。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二）加强党的建设。落实基层党建工作责任制，统筹推进城市基层党建工作，实现党的组织和工作全覆盖，提高党建工作的有效性。落实全面从严治党政治责任，落实意识形态工作责任制，负责辖区宣传思想和精神文明建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en-US" w:bidi="ar-SA"/>
        </w:rPr>
        <w:t>（四）组织公共服务。组织实施与居民生活密切相关的各项公共服务，贯彻落实教育、科技、体育、民政、人力资源和社会保障、文化旅游、卫生健康、退役军人事务管理服务等领域相关政策法规</w:t>
      </w:r>
      <w:r>
        <w:rPr>
          <w:rFonts w:hint="eastAsia" w:ascii="仿宋_GB2312" w:hAnsi="仿宋_GB2312" w:eastAsia="仿宋_GB2312" w:cs="仿宋_GB2312"/>
          <w:color w:val="auto"/>
          <w:kern w:val="2"/>
          <w:sz w:val="32"/>
          <w:szCs w:val="32"/>
          <w:lang w:val="en-US" w:eastAsia="zh-CN" w:bidi="ar-SA"/>
        </w:rPr>
        <w:t>。</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p>
    <w:p>
      <w:pPr>
        <w:widowControl w:val="0"/>
        <w:autoSpaceDE w:val="0"/>
        <w:autoSpaceDN w:val="0"/>
        <w:spacing w:line="319" w:lineRule="exact"/>
        <w:ind w:left="641"/>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（五）实施综合管理。组织领导和综合协调辖区内城市</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管理、人口管理、文明创建等地区性、综合性社会管理工</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作。承担街道环境保护、物业监管相关工作职责。统筹协调</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和考核督办涉及多个职能部门的综合性事项实施，对职能部</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门派驻机构工作考核和人事任免提出意见和建议。</w:t>
      </w:r>
    </w:p>
    <w:p>
      <w:pPr>
        <w:widowControl w:val="0"/>
        <w:autoSpaceDE w:val="0"/>
        <w:autoSpaceDN w:val="0"/>
        <w:spacing w:before="281" w:line="319" w:lineRule="exact"/>
        <w:ind w:left="641"/>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（六）监督专业管理。组织实施辖区综合行政执法，统</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一指挥调度派驻执法机构开展执法活动，并组织开展群众监</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督和社会监督。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p>
    <w:p>
      <w:pPr>
        <w:widowControl w:val="0"/>
        <w:autoSpaceDE w:val="0"/>
        <w:autoSpaceDN w:val="0"/>
        <w:spacing w:line="319" w:lineRule="exact"/>
        <w:ind w:left="641"/>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（七）动员社会参与。动员辖区内各类单位、社会组织</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和社区居民等社会力量参与社区治理，引导、整合辖区内各</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种社会力量为区域发展服务。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p>
    <w:p>
      <w:pPr>
        <w:widowControl w:val="0"/>
        <w:autoSpaceDE w:val="0"/>
        <w:autoSpaceDN w:val="0"/>
        <w:spacing w:line="319" w:lineRule="exact"/>
        <w:ind w:left="641"/>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（八）指导社区自治。指导社区居委会建设，健全自治</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平台，组织社区居民和单位参与社区建设和管理。</w:t>
      </w:r>
    </w:p>
    <w:p>
      <w:pPr>
        <w:widowControl w:val="0"/>
        <w:autoSpaceDE w:val="0"/>
        <w:autoSpaceDN w:val="0"/>
        <w:spacing w:before="281" w:line="319" w:lineRule="exact"/>
        <w:ind w:left="641"/>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（九）维护公共安全。负责辖区社会治安综合治理、安</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全生产监督管理、应急管理等工作，开展平安建设，处理群</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众来信来访，反映社情民意，化解矛盾纠纷，维护社会和谐</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稳定。</w:t>
      </w:r>
    </w:p>
    <w:p>
      <w:pPr>
        <w:widowControl w:val="0"/>
        <w:autoSpaceDE w:val="0"/>
        <w:autoSpaceDN w:val="0"/>
        <w:spacing w:before="281" w:line="319" w:lineRule="exact"/>
        <w:rPr>
          <w:rFonts w:hint="eastAsia" w:ascii="仿宋_GB2312" w:hAnsi="仿宋_GB2312" w:eastAsia="仿宋_GB2312" w:cs="仿宋_GB2312"/>
          <w:color w:val="auto"/>
          <w:kern w:val="2"/>
          <w:sz w:val="32"/>
          <w:szCs w:val="32"/>
          <w:lang w:val="en-US" w:eastAsia="en-US" w:bidi="ar-SA"/>
        </w:rPr>
      </w:pPr>
    </w:p>
    <w:p>
      <w:pPr>
        <w:widowControl w:val="0"/>
        <w:autoSpaceDE w:val="0"/>
        <w:autoSpaceDN w:val="0"/>
        <w:spacing w:line="319" w:lineRule="exact"/>
        <w:rPr>
          <w:rFonts w:hint="eastAsia"/>
        </w:rPr>
      </w:pPr>
      <w:r>
        <w:rPr>
          <w:rFonts w:hint="eastAsia" w:ascii="仿宋_GB2312" w:hAnsi="仿宋_GB2312" w:eastAsia="仿宋_GB2312" w:cs="仿宋_GB2312"/>
          <w:color w:val="auto"/>
          <w:kern w:val="2"/>
          <w:sz w:val="32"/>
          <w:szCs w:val="32"/>
          <w:lang w:val="en-US" w:eastAsia="en-US" w:bidi="ar-SA"/>
        </w:rPr>
        <w:t>（十）完成区委、区政府交办的其他任务。</w:t>
      </w:r>
    </w:p>
    <w:p/>
    <w:p>
      <w:pPr>
        <w:autoSpaceDE w:val="0"/>
        <w:autoSpaceDN w:val="0"/>
        <w:adjustRightInd w:val="0"/>
        <w:spacing w:line="240" w:lineRule="auto"/>
        <w:ind w:firstLine="640" w:firstLineChars="200"/>
        <w:jc w:val="left"/>
        <w:rPr>
          <w:rFonts w:hint="eastAsia" w:ascii="黑体" w:hAnsi="Times New Roman" w:eastAsia="黑体" w:cs="黑体"/>
          <w:kern w:val="0"/>
          <w:sz w:val="32"/>
          <w:szCs w:val="32"/>
          <w:lang w:val="en-US" w:eastAsia="zh-CN"/>
        </w:rPr>
      </w:pPr>
      <w:r>
        <w:rPr>
          <w:rFonts w:hint="eastAsia" w:ascii="黑体" w:hAnsi="Times New Roman" w:eastAsia="黑体" w:cs="黑体"/>
          <w:kern w:val="0"/>
          <w:sz w:val="32"/>
          <w:szCs w:val="32"/>
          <w:lang w:val="en-US" w:eastAsia="zh-CN"/>
        </w:rPr>
        <w:t>二、组织架构、部门人员情况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en-US" w:bidi="ar-SA"/>
        </w:rPr>
        <w:t>2025 年 东 湖 区 董 家 窑 街 道 办 事 处 共 有 预</w:t>
      </w:r>
      <w:r>
        <w:rPr>
          <w:rFonts w:hint="eastAsia" w:ascii="仿宋_GB2312" w:hAnsi="仿宋_GB2312" w:eastAsia="仿宋_GB2312" w:cs="仿宋_GB2312"/>
          <w:color w:val="auto"/>
          <w:kern w:val="2"/>
          <w:sz w:val="32"/>
          <w:szCs w:val="32"/>
          <w:lang w:val="en-US" w:eastAsia="zh-CN" w:bidi="ar-SA"/>
        </w:rPr>
        <w:t xml:space="preserve"> </w:t>
      </w:r>
      <w:r>
        <w:rPr>
          <w:rFonts w:hint="eastAsia" w:ascii="仿宋_GB2312" w:hAnsi="仿宋_GB2312" w:eastAsia="仿宋_GB2312" w:cs="仿宋_GB2312"/>
          <w:color w:val="auto"/>
          <w:kern w:val="2"/>
          <w:sz w:val="32"/>
          <w:szCs w:val="32"/>
          <w:lang w:val="en-US" w:eastAsia="en-US" w:bidi="ar-SA"/>
        </w:rPr>
        <w:t>算 单 位 1个，即董家窑街道办事处本级。编制人数小计 50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其中：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r>
        <w:rPr>
          <w:rFonts w:hint="eastAsia" w:ascii="仿宋_GB2312" w:hAnsi="仿宋_GB2312" w:eastAsia="仿宋_GB2312" w:cs="仿宋_GB2312"/>
          <w:color w:val="auto"/>
          <w:kern w:val="2"/>
          <w:sz w:val="32"/>
          <w:szCs w:val="32"/>
          <w:lang w:val="en-US" w:eastAsia="en-US" w:bidi="ar-SA"/>
        </w:rPr>
        <w:t>行政编制人数 14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全部补助事业编制人数 36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部分补助事业编制人数 0 人。实有人数小计 57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其中：在职人数小计 36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行政在职人数 13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全部补助事业在职人数 23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部分补助事业在职人数 0 人。离休人数小计 0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退休人数小计 19 人</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en-US" w:bidi="ar-SA"/>
        </w:rPr>
        <w:t>遗属人数 2 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en-US"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仿宋_GB2312" w:hAnsi="仿宋_GB2312" w:eastAsia="仿宋_GB2312" w:cs="仿宋_GB2312"/>
          <w:color w:val="auto"/>
          <w:kern w:val="2"/>
          <w:sz w:val="32"/>
          <w:szCs w:val="32"/>
          <w:lang w:val="en-US" w:eastAsia="zh-CN" w:bidi="ar-SA"/>
        </w:rPr>
      </w:pPr>
    </w:p>
    <w:p>
      <w:pPr>
        <w:pStyle w:val="20"/>
        <w:numPr>
          <w:ilvl w:val="0"/>
          <w:numId w:val="0"/>
        </w:numPr>
        <w:spacing w:line="360" w:lineRule="auto"/>
        <w:ind w:left="568" w:leftChars="0"/>
        <w:rPr>
          <w:rFonts w:ascii="黑体" w:eastAsia="黑体"/>
          <w:color w:val="auto"/>
          <w:sz w:val="32"/>
          <w:szCs w:val="32"/>
          <w:highlight w:val="none"/>
        </w:rPr>
      </w:pPr>
      <w:r>
        <w:rPr>
          <w:rFonts w:hint="eastAsia" w:ascii="黑体" w:hAnsi="仿宋" w:eastAsia="黑体"/>
          <w:color w:val="auto"/>
          <w:sz w:val="32"/>
          <w:szCs w:val="32"/>
          <w:highlight w:val="none"/>
          <w:lang w:val="en-US" w:eastAsia="zh-CN"/>
        </w:rPr>
        <w:t>三、</w:t>
      </w:r>
      <w:r>
        <w:rPr>
          <w:rFonts w:hint="eastAsia" w:ascii="黑体" w:hAnsi="仿宋" w:eastAsia="黑体"/>
          <w:color w:val="auto"/>
          <w:sz w:val="32"/>
          <w:szCs w:val="32"/>
          <w:highlight w:val="none"/>
        </w:rPr>
        <w:t>资产总量情况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截至2025年12月31日，我单位编制人数50人，较上年度增加0人，年末实有人数37人，较上年度增加-8人。</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行政事业单位国有资产基本情况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（一）资产总体情况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截至2025年12月31日，我单位资产总额（账面净值，下同）1,169.79万元，较上年增长4.58%。负债总额32.59万元，较上年增长1,469.48%。净资产1,137.20万元，较上年增长1.85%。</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1.资产分布情况。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我单位行政单位国有资产1,169.79万元，占100.00%；事业单位国有资产0.00万元，占0.00%。</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2.资产构成情况。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流动资产63.86万元，较上年增长1.83%，占资产总额5.46%；固定资产311.76万元，较上年增长-7.78%, 占资产总额26.65%；在建工程0.00万元，较上年增长0.00%，占资产总额0.00%；长期投资0.00万元，占资产总额0.00%；无形资产0.00万元，较上年增长0.00%，占资产总额0.00%；公共基础设施794.17万元，占资产总额67.89%；政府储备物资0.00万元，占资产总额0.00%；文物资源0.00万元，占资产总额0.00%；保障性住房0.00万元，占资产总额0.00%；其他资产0.00万元，占资产总额0.00%。</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3.固定资产构成情况。</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2"/>
        <w:jc w:val="both"/>
        <w:textAlignment w:val="auto"/>
        <w:rPr>
          <w:rFonts w:ascii="宋体" w:hAnsi="宋体" w:eastAsia="宋体" w:cs="宋体"/>
          <w:b w:val="0"/>
          <w:i w:val="0"/>
          <w:color w:val="000000"/>
          <w:sz w:val="28"/>
          <w:u w:val="none"/>
        </w:rPr>
      </w:pPr>
      <w:r>
        <w:rPr>
          <w:rFonts w:hint="eastAsia" w:ascii="仿宋_GB2312" w:hAnsi="仿宋_GB2312" w:eastAsia="仿宋_GB2312" w:cs="仿宋_GB2312"/>
          <w:b w:val="0"/>
          <w:bCs w:val="0"/>
          <w:color w:val="auto"/>
          <w:sz w:val="32"/>
          <w:szCs w:val="32"/>
          <w:lang w:val="en-US" w:eastAsia="zh-CN"/>
        </w:rPr>
        <w:t>房屋和构筑物124.47万元，占固定资产的39.93%（其中，房屋124.47万元，占固定资产的39.93%）；设备97.43万元，占31.25%（其中，车辆3.56万元，占1.14%，单价100万（含）以上（不含车辆）设备0.00万元，占0.00%）；陈列品0.00万元，占0.00%；图书和档案44.65万元，占14.32%；</w:t>
      </w:r>
      <w:r>
        <w:rPr>
          <w:rFonts w:ascii="宋体" w:hAnsi="宋体" w:eastAsia="宋体" w:cs="宋体"/>
          <w:b w:val="0"/>
          <w:i w:val="0"/>
          <w:color w:val="000000"/>
          <w:sz w:val="28"/>
          <w:u w:val="none"/>
        </w:rPr>
        <w:t xml:space="preserve">家具和用具45.20万元，占14.50%；特种动植物0.00万元，占0.00%。 </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宋体" w:hAnsi="宋体" w:eastAsia="宋体" w:cs="宋体"/>
          <w:b w:val="0"/>
          <w:i w:val="0"/>
          <w:color w:val="000000"/>
          <w:sz w:val="28"/>
          <w:u w:val="none"/>
          <w:lang w:val="en-US" w:eastAsia="zh-CN"/>
        </w:rPr>
      </w:pPr>
    </w:p>
    <w:p>
      <w:pPr>
        <w:pStyle w:val="15"/>
        <w:numPr>
          <w:ilvl w:val="0"/>
          <w:numId w:val="0"/>
        </w:numPr>
        <w:spacing w:line="240" w:lineRule="auto"/>
        <w:ind w:firstLine="321" w:firstLineChars="100"/>
        <w:rPr>
          <w:rFonts w:hint="eastAsia" w:ascii="黑体" w:hAnsi="黑体" w:eastAsia="黑体" w:cs="黑体"/>
          <w:b/>
          <w:sz w:val="32"/>
          <w:szCs w:val="32"/>
        </w:rPr>
      </w:pPr>
      <w:r>
        <w:rPr>
          <w:rFonts w:hint="eastAsia" w:ascii="黑体" w:hAnsi="黑体" w:eastAsia="黑体" w:cs="黑体"/>
          <w:b/>
          <w:kern w:val="2"/>
          <w:sz w:val="32"/>
          <w:szCs w:val="32"/>
          <w:lang w:val="en-US" w:eastAsia="zh-CN" w:bidi="ar-SA"/>
        </w:rPr>
        <w:t>四：</w:t>
      </w:r>
      <w:r>
        <w:rPr>
          <w:rFonts w:hint="eastAsia" w:ascii="黑体" w:hAnsi="黑体" w:eastAsia="黑体" w:cs="黑体"/>
          <w:b/>
          <w:sz w:val="32"/>
          <w:szCs w:val="32"/>
        </w:rPr>
        <w:t>部门履职总体目标、工作任务</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2025年主要工作情况</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bookmarkStart w:id="0" w:name="OLE_LINK12"/>
      <w:r>
        <w:rPr>
          <w:rFonts w:hint="eastAsia" w:ascii="仿宋_GB2312" w:hAnsi="仿宋_GB2312" w:eastAsia="仿宋_GB2312" w:cs="仿宋_GB2312"/>
          <w:b w:val="0"/>
          <w:bCs w:val="0"/>
          <w:color w:val="auto"/>
          <w:kern w:val="0"/>
          <w:sz w:val="32"/>
          <w:szCs w:val="32"/>
          <w:lang w:val="en-US" w:eastAsia="zh-CN" w:bidi="ar"/>
        </w:rPr>
        <w:t>一、聚焦党建引领固本强基，彰显政治担当“本色”。</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街道党工委坚决扛起管党治党政治责任，以高质量党建引领保障高质量发展，为街道各项事业发展提供坚强政治保证。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筑牢思想根基。坚持“第一议题”制度，认真组织跟进学习习近平新时代中国特色社会主义思想、研究部署好学习宣传贯彻党的二十届三中全会、党的二十届四中全会精神等各项工作，抓实抓细深入贯彻中央八项规定精神学习教育，根据市级层面学习教育工作专班统一部署，董家窑街道接受了市级专项评估，得到专班评估组高度肯定。</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夯实组织基础。街道党工委将社区“两委”换届作为夯实党的执政基础的重要抓手，坚持高标准、严要求，做到提前谋划、提前部署，在10月底前已完成2名新任社区书记调整到位，正根据上级部门具体要求按计划推进，确保平稳有序落实换届任务。</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default"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抓好新兴领域党建。根据区委社工部统一部署，街道新兴领域党建工作指导站认真落实“四个一”(即组建一支队伍、开展一次全面走访、送上一套红色礼包、畅通一条联系渠道)工作机制，深入推进新兴领域企业组织建设工作，着力破解新兴领域党建覆盖难题；目前街道已完成关联1个区域性党组织（央央春天）、15个单建党组织（15家企业）、10个联建党组织（28家企业）；并协助重点打造了2个新建企业党组织，分别是江西鹏颂商贸有限公司、上海外服（江西）人力资源服务有限公司。</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二、聚焦经济发展提质增效，擦亮创先争优“底色”。</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街道党工委始终将发展作为第一要务，着力优化营商环境，激发市场活力，推动经济实现质的有效提升和量的合理增长。</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主要指标完成情况。今年前三季度，累计完成一般税收5592.84万元，同比增长4.5%。建筑业总产值达39.50亿元，产值占全区比重达38.8%，且在高基数基础上仍保持3.18%的增速稳步增长。批发业销售额完成14.67亿元，同比增长20.81%；限上零售额完成10.99亿元；餐饮业营业额5407.9万元，同比增长12.14%，住宿业营业额2200万元，同比增速</w:t>
      </w:r>
      <w:r>
        <w:rPr>
          <w:rFonts w:hint="default" w:ascii="仿宋_GB2312" w:hAnsi="仿宋_GB2312" w:eastAsia="仿宋_GB2312" w:cs="仿宋_GB2312"/>
          <w:b w:val="0"/>
          <w:bCs w:val="0"/>
          <w:color w:val="auto"/>
          <w:kern w:val="0"/>
          <w:sz w:val="32"/>
          <w:szCs w:val="32"/>
          <w:lang w:val="en-US" w:eastAsia="zh-CN" w:bidi="ar"/>
        </w:rPr>
        <w:t>0.3</w:t>
      </w:r>
      <w:r>
        <w:rPr>
          <w:rFonts w:hint="eastAsia" w:ascii="仿宋_GB2312" w:hAnsi="仿宋_GB2312" w:eastAsia="仿宋_GB2312" w:cs="仿宋_GB2312"/>
          <w:b w:val="0"/>
          <w:bCs w:val="0"/>
          <w:color w:val="auto"/>
          <w:kern w:val="0"/>
          <w:sz w:val="32"/>
          <w:szCs w:val="32"/>
          <w:lang w:val="en-US" w:eastAsia="zh-CN" w:bidi="ar"/>
        </w:rPr>
        <w:t>%，消费市场活力持续释放。服务业营收2.4亿元，同比下降22.8%，街道正积极挖掘、培育服务业企业升规入统，推动服务业提质增效。受辖区内工程项目数量少、体量小等因素影响，固定资产投资额完成1.93亿元，同比下降29.9%，后续将积极对接固投线索，挖掘新增固投项目，全力推进补短板。</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招商引资接续用力。截至目前，已成功签约江西嘉利福能源项目、网逸文体产业园、国产信息化代理AI教育数字项目及北京畅年文化科技江西总部项目4个招大引强项目，完成省外进资9000万元。同时，正在密切跟进樟树林文化产业园项目、紫金城路汽车检测中心项目、盒马鲜生前置仓、江西财经大学江南大厦酒店等潜力项目，为街道经济发展储备充足动能。</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营商环境持续优化。街道始终坚持“</w:t>
      </w:r>
      <w:r>
        <w:rPr>
          <w:rFonts w:hint="default" w:ascii="仿宋_GB2312" w:hAnsi="仿宋_GB2312" w:eastAsia="仿宋_GB2312" w:cs="仿宋_GB2312"/>
          <w:b w:val="0"/>
          <w:bCs w:val="0"/>
          <w:color w:val="auto"/>
          <w:kern w:val="0"/>
          <w:sz w:val="32"/>
          <w:szCs w:val="32"/>
          <w:lang w:val="en-US" w:eastAsia="zh-CN" w:bidi="ar"/>
        </w:rPr>
        <w:t>服务好现有企业就是最好的招商引资</w:t>
      </w:r>
      <w:r>
        <w:rPr>
          <w:rFonts w:hint="eastAsia" w:ascii="仿宋_GB2312" w:hAnsi="仿宋_GB2312" w:eastAsia="仿宋_GB2312" w:cs="仿宋_GB2312"/>
          <w:b w:val="0"/>
          <w:bCs w:val="0"/>
          <w:color w:val="auto"/>
          <w:kern w:val="0"/>
          <w:sz w:val="32"/>
          <w:szCs w:val="32"/>
          <w:lang w:val="en-US" w:eastAsia="zh-CN" w:bidi="ar"/>
        </w:rPr>
        <w:t>”理念，增强靠前主动服务意识，前三季度，街道副科及以上领导累计带队走访重点企业129次，为企业送政策，向企业问需求，助企业解难题。聚焦企业发展痛点堵点难点，街道主动作为、进准发力，通过强化与区直部门联动，高效搭建银企对接通道，助力昆吾九鼎公司落地 3.5 亿融资资金；为婧麒、合嘉诊所、嘉利福能源等企业打通开办审批“绿色通道”，全程跟进服务，帮助企业高效办理营业执照、经营许可等各类手续。</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聚焦民生福祉普惠均衡，传递以人为本“暖色”。</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街道党工委践行以人民为中心的发展思想，着力解决好人民群众急难愁盼问题，不断实现人民对美好生活的向往。</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社会保障持续完善。落实城乡居民养老保险、医疗保险政策，完成进度99.7%，全区排名第二。累计发放城市低保金408万元、临时救助19.29万元、两项补贴80.97万元、照护补贴金7.99万元、高龄补贴411.02万元。</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default"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公共服务不断扩容。街道“5+2”就业之家征集辖区招聘企业47家，岗位61个，为198位求职人员提供就业指导；通过“政策直达+服务护航+场景搭建”的全链条帮扶，帮扶低成本创业补贴10家，全区排名第二。</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聚焦城市建管精益求精，增添攻坚克难“亮色”。</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街道党工委牢固树立“人民城市为人民”的重要理念，坚持建管并用、精益求精，不断提升城市生活品质，推动实现共建共享。</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bookmarkStart w:id="1" w:name="OLE_LINK1"/>
      <w:r>
        <w:rPr>
          <w:rFonts w:hint="eastAsia" w:ascii="仿宋_GB2312" w:hAnsi="仿宋_GB2312" w:eastAsia="仿宋_GB2312" w:cs="仿宋_GB2312"/>
          <w:b w:val="0"/>
          <w:bCs w:val="0"/>
          <w:color w:val="auto"/>
          <w:kern w:val="0"/>
          <w:sz w:val="32"/>
          <w:szCs w:val="32"/>
          <w:lang w:val="en-US" w:eastAsia="zh-CN" w:bidi="ar"/>
        </w:rPr>
        <w:t>环境面貌焕新优化。严格落实河湖长制，配齐专职巡查力量，建立“台账更新+快速处置”机制，实现月度巡查全覆盖。以“设施升级、台账规范、督导落地”提质垃圾分类，建成投放亭117个，完成2个小区全链条升级，建立消杀长效机制。开展市容整治，规范出店经营2600余起、非机动车停放8500余辆，拆除破旧广告180余处。</w:t>
      </w:r>
      <w:r>
        <w:rPr>
          <w:rFonts w:hint="default" w:ascii="仿宋_GB2312" w:hAnsi="仿宋_GB2312" w:eastAsia="仿宋_GB2312" w:cs="仿宋_GB2312"/>
          <w:b w:val="0"/>
          <w:bCs w:val="0"/>
          <w:color w:val="auto"/>
          <w:kern w:val="0"/>
          <w:sz w:val="32"/>
          <w:szCs w:val="32"/>
          <w:lang w:val="en-US" w:eastAsia="zh-CN" w:bidi="ar"/>
        </w:rPr>
        <w:t>强化餐饮行业油烟治理，对112家餐饮商户开展油烟净化设备专项检查与规范使用指导，精准督促不达标商户限期整改，从源头减少大气污染，持续改善辖区空气质量。</w:t>
      </w:r>
      <w:r>
        <w:rPr>
          <w:rFonts w:hint="eastAsia" w:ascii="仿宋_GB2312" w:hAnsi="仿宋_GB2312" w:eastAsia="仿宋_GB2312" w:cs="仿宋_GB2312"/>
          <w:b w:val="0"/>
          <w:bCs w:val="0"/>
          <w:color w:val="auto"/>
          <w:kern w:val="0"/>
          <w:sz w:val="32"/>
          <w:szCs w:val="32"/>
          <w:lang w:val="en-US" w:eastAsia="zh-CN" w:bidi="ar"/>
        </w:rPr>
        <w:t>创新推行“疏堵结合”长效管控模式，在赣桥南路设立“董家窑便民疏导点”。</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基础设施同步升级。截至10月，完成5个社区16台电梯加装，10台竣工投用，切实解决老旧小区“上楼难”“居住忧”。高质量完成54家企事业单位排水单元改造，妥善解决改造遗留及管网积水问题，提升城市排水防涝能力。完成8个社区老旧小区改造，覆盖44个庭院、4355户居民，拆除违建37处、围墙10处。</w:t>
      </w:r>
    </w:p>
    <w:bookmarkEnd w:id="1"/>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双创建设精准落实。锚定龙泉湾小区亮点点位及7个国检重点社区，常态化开展环境整治，清理各类乱象及垃圾一批，粉刷墙面3000余平方米、清运杂物210车。丰富宣传服务举措，开展文明公约普及、垃圾分类宣传等活动，组建巡逻队常态化巡查、落实独居老人帮扶，推动双创理念深植民心，居民参与度与满意度显著提升。</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聚焦安全稳定和谐有序，淬炼治理效能“成色”。</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街道党工委全力保障社会安全稳定大局，以提升政法满意度和公众安全感为目标，以“安全重于泰山、稳定压倒一切”为出发点，积极推进平安街道建设。</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安全屏障持续筑牢。街道始终把安全稳定作为底线工程，聚焦“九小场所”等重点领域，开展拉网式排查整治，累计排查场所3049家，整改安全隐患387处，拆除违规招牌、防盗网110处，打通堵塞应急通道684处，同时常态化开展应急能力建设，培训“准消防员”312人次，全方位织密辖区安全防护网，切实维护人民群众生命财产安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治理效能显著提升。聚焦拆迁安置、民生保障等矛盾易发领域，建立“排查-研判-化解”全流程工作机制，累计排查矛盾隐患189起，严格落实“一事一方案”精准调处，化解率达100%；创新推行“接访下访+网上信访”融合模式，累计赴省市区接访10余次、赴京接访4人次，高效办理网上信访事项37件。</w:t>
      </w:r>
    </w:p>
    <w:bookmarkEnd w:id="0"/>
    <w:p>
      <w:pPr>
        <w:pStyle w:val="15"/>
        <w:numPr>
          <w:ilvl w:val="0"/>
          <w:numId w:val="0"/>
        </w:numPr>
        <w:spacing w:line="240" w:lineRule="auto"/>
        <w:ind w:leftChars="100"/>
        <w:rPr>
          <w:rFonts w:hint="eastAsia" w:ascii="仿宋_GB2312" w:hAnsi="仿宋_GB2312" w:eastAsia="仿宋_GB2312" w:cs="仿宋_GB2312"/>
          <w:b w:val="0"/>
          <w:bCs w:val="0"/>
          <w:color w:val="auto"/>
          <w:kern w:val="0"/>
          <w:sz w:val="32"/>
          <w:szCs w:val="32"/>
          <w:lang w:val="en-US" w:eastAsia="zh-CN" w:bidi="ar"/>
        </w:rPr>
      </w:pPr>
    </w:p>
    <w:p>
      <w:pPr>
        <w:numPr>
          <w:ilvl w:val="0"/>
          <w:numId w:val="0"/>
        </w:numPr>
        <w:autoSpaceDE w:val="0"/>
        <w:autoSpaceDN w:val="0"/>
        <w:adjustRightInd w:val="0"/>
        <w:spacing w:line="240" w:lineRule="auto"/>
        <w:ind w:firstLine="640" w:firstLineChars="200"/>
        <w:jc w:val="left"/>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五：当年部门年度整体支出绩效目标。</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2025年，坚持紧紧围绕全区中心工作，以争先创优为目标，以提升“服务发展、服务决策、服务落实”水平为重点，重视创新思维，加强能力建设，充分发挥承上启下、协调左右的作用，努力确保区政府各项工作高效有序运转。</w:t>
      </w:r>
    </w:p>
    <w:p>
      <w:pPr>
        <w:numPr>
          <w:ilvl w:val="0"/>
          <w:numId w:val="0"/>
        </w:numPr>
        <w:autoSpaceDE w:val="0"/>
        <w:autoSpaceDN w:val="0"/>
        <w:adjustRightInd w:val="0"/>
        <w:spacing w:line="240" w:lineRule="auto"/>
        <w:ind w:firstLine="640" w:firstLineChars="200"/>
        <w:jc w:val="left"/>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六：部门预算绩效管理开展情况。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按照“预算编制有目标、预算执行有监控、预算完成有评价、评价结果有反馈、反馈结果有应用”的预算绩效管理机制和覆盖预算管理事前、事中、事后全过程的预算绩效管理体系，有效促进了财政资金使用绩效的提高。积极拓展预算绩效管理各环节工作的广度和深度，实现预算绩效管理在预算部门全面覆盖管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Times New Roman" w:eastAsia="仿宋_GB2312" w:cs="仿宋_GB2312"/>
          <w:kern w:val="0"/>
          <w:sz w:val="32"/>
          <w:szCs w:val="32"/>
          <w:lang w:val="en-US" w:eastAsia="zh-CN"/>
        </w:rPr>
      </w:pPr>
      <w:r>
        <w:rPr>
          <w:rFonts w:hint="eastAsia" w:ascii="仿宋_GB2312" w:hAnsi="仿宋_GB2312" w:eastAsia="仿宋_GB2312" w:cs="仿宋_GB2312"/>
          <w:b w:val="0"/>
          <w:bCs w:val="0"/>
          <w:color w:val="auto"/>
          <w:kern w:val="0"/>
          <w:sz w:val="32"/>
          <w:szCs w:val="32"/>
          <w:lang w:val="en-US" w:eastAsia="zh-CN" w:bidi="ar"/>
        </w:rPr>
        <w:t>通过加强预算绩效</w:t>
      </w:r>
      <w:bookmarkStart w:id="2" w:name="_GoBack"/>
      <w:bookmarkEnd w:id="2"/>
      <w:r>
        <w:rPr>
          <w:rFonts w:hint="eastAsia" w:ascii="仿宋_GB2312" w:hAnsi="仿宋_GB2312" w:eastAsia="仿宋_GB2312" w:cs="仿宋_GB2312"/>
          <w:b w:val="0"/>
          <w:bCs w:val="0"/>
          <w:color w:val="auto"/>
          <w:kern w:val="0"/>
          <w:sz w:val="32"/>
          <w:szCs w:val="32"/>
          <w:lang w:val="en-US" w:eastAsia="zh-CN" w:bidi="ar"/>
        </w:rPr>
        <w:t xml:space="preserve">管理，不断建立健全内部管理制度，梳理内部管理流程，部门整体支出管理水平得到提升。           </w:t>
      </w:r>
      <w:r>
        <w:rPr>
          <w:rFonts w:hint="eastAsia" w:ascii="仿宋_GB2312" w:hAnsi="Times New Roman" w:eastAsia="仿宋_GB2312" w:cs="仿宋_GB2312"/>
          <w:kern w:val="0"/>
          <w:sz w:val="32"/>
          <w:szCs w:val="32"/>
          <w:lang w:val="en-US" w:eastAsia="zh-CN"/>
        </w:rPr>
        <w:t xml:space="preserve">          </w:t>
      </w:r>
    </w:p>
    <w:p>
      <w:pPr>
        <w:numPr>
          <w:ilvl w:val="0"/>
          <w:numId w:val="0"/>
        </w:numPr>
        <w:autoSpaceDE w:val="0"/>
        <w:autoSpaceDN w:val="0"/>
        <w:adjustRightInd w:val="0"/>
        <w:spacing w:line="240" w:lineRule="auto"/>
        <w:ind w:firstLine="640" w:firstLineChars="200"/>
        <w:jc w:val="left"/>
        <w:rPr>
          <w:rFonts w:hint="eastAsia" w:ascii="黑体" w:hAnsi="黑体" w:eastAsia="黑体" w:cs="黑体"/>
          <w:b w:val="0"/>
          <w:bCs w:val="0"/>
          <w:color w:val="auto"/>
          <w:kern w:val="0"/>
          <w:sz w:val="32"/>
          <w:szCs w:val="32"/>
          <w:lang w:val="en-US" w:eastAsia="zh-CN" w:bidi="ar"/>
        </w:rPr>
      </w:pPr>
      <w:r>
        <w:rPr>
          <w:rFonts w:hint="eastAsia" w:ascii="黑体" w:hAnsi="黑体" w:eastAsia="黑体" w:cs="黑体"/>
          <w:b w:val="0"/>
          <w:bCs w:val="0"/>
          <w:color w:val="auto"/>
          <w:kern w:val="0"/>
          <w:sz w:val="32"/>
          <w:szCs w:val="32"/>
          <w:lang w:val="en-US" w:eastAsia="zh-CN" w:bidi="ar"/>
        </w:rPr>
        <w:t>七：当年部门预算及执行情况。</w:t>
      </w:r>
    </w:p>
    <w:p>
      <w:pPr>
        <w:pStyle w:val="3"/>
        <w:spacing w:before="72"/>
        <w:ind w:left="757"/>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2025 年东湖区董家窑街道办事处财政拨款支出预算总额</w:t>
      </w:r>
    </w:p>
    <w:p>
      <w:pPr>
        <w:pStyle w:val="3"/>
        <w:spacing w:before="151"/>
        <w:ind w:left="116"/>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1303.98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较上年预算安排减少 410 万元;</w:t>
      </w:r>
    </w:p>
    <w:p>
      <w:pPr>
        <w:pStyle w:val="3"/>
        <w:spacing w:before="149" w:line="328" w:lineRule="auto"/>
        <w:ind w:left="116" w:right="149" w:firstLine="64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按支出功能科目划分： 一般公共服务支出 889.46 万元，国防支出 0.05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公共安全支出 4.2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社会保障和就业支出 182.88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卫生健康支出 8.14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城乡社区</w:t>
      </w:r>
    </w:p>
    <w:p>
      <w:pPr>
        <w:pStyle w:val="3"/>
        <w:spacing w:line="326" w:lineRule="auto"/>
        <w:ind w:left="116" w:right="146"/>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支出 153.12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住房保障支出 58.86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其他支出 7.27 万元。</w:t>
      </w:r>
    </w:p>
    <w:p>
      <w:pPr>
        <w:pStyle w:val="3"/>
        <w:spacing w:before="1" w:line="328" w:lineRule="auto"/>
        <w:ind w:left="116" w:right="146" w:firstLine="64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按支出项目类别划分：基本支出 971.78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较上年预算安排增加 132.04 万元;其中：工资福利支出 928.52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 xml:space="preserve"> 商品和服务支出 33.82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 xml:space="preserve"> 对个人和家庭的补助 9.44 万元。项目支出 332.2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较上年预算安排减少 552.05 万元;其中：工资福利支出 272.32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商品和服务支出 31.99 万</w:t>
      </w:r>
    </w:p>
    <w:p>
      <w:pPr>
        <w:pStyle w:val="3"/>
        <w:spacing w:before="149"/>
        <w:ind w:left="116"/>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对个人和家庭的补助 27.89 万元。</w:t>
      </w:r>
    </w:p>
    <w:p>
      <w:pPr>
        <w:widowControl w:val="0"/>
        <w:autoSpaceDE w:val="0"/>
        <w:autoSpaceDN w:val="0"/>
        <w:spacing w:line="319" w:lineRule="exact"/>
        <w:rPr>
          <w:rFonts w:hint="default" w:ascii="仿宋" w:hAnsi="仿宋" w:cs="仿宋" w:eastAsiaTheme="minorEastAsia"/>
          <w:color w:val="000000"/>
          <w:spacing w:val="12"/>
          <w:sz w:val="32"/>
          <w:szCs w:val="22"/>
          <w:lang w:val="en-US" w:eastAsia="zh-CN" w:bidi="ar-SA"/>
        </w:rPr>
      </w:pPr>
      <w:r>
        <w:rPr>
          <w:rFonts w:hint="eastAsia" w:ascii="仿宋" w:hAnsi="仿宋" w:cs="仿宋"/>
          <w:color w:val="000000"/>
          <w:spacing w:val="12"/>
          <w:sz w:val="32"/>
          <w:szCs w:val="22"/>
          <w:lang w:val="en-US" w:eastAsia="zh-CN" w:bidi="ar-SA"/>
        </w:rPr>
        <w:t xml:space="preserve">  </w:t>
      </w:r>
    </w:p>
    <w:p>
      <w:pPr>
        <w:pStyle w:val="3"/>
        <w:spacing w:before="1" w:line="328" w:lineRule="auto"/>
        <w:ind w:left="116" w:right="146" w:firstLine="64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2025 年东湖区董家窑街道办事处"三公"经费财政拨款安排 0 万元，其中：因公出国（境）费 0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比上年增（减）</w:t>
      </w:r>
    </w:p>
    <w:p>
      <w:pPr>
        <w:pStyle w:val="3"/>
        <w:spacing w:before="1" w:line="328" w:lineRule="auto"/>
        <w:ind w:right="146"/>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0 万元，主要原因是：与上年安排保持一致。</w:t>
      </w:r>
    </w:p>
    <w:p>
      <w:pPr>
        <w:pStyle w:val="3"/>
        <w:spacing w:before="1" w:line="328" w:lineRule="auto"/>
        <w:ind w:right="146" w:firstLine="640" w:firstLineChars="20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公务接待费 0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比上年增（减）0 万元，主要原因是： 与上年安排保持一致。</w:t>
      </w:r>
    </w:p>
    <w:p>
      <w:pPr>
        <w:pStyle w:val="3"/>
        <w:spacing w:before="1" w:line="328" w:lineRule="auto"/>
        <w:ind w:left="116" w:right="146" w:firstLine="64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公务用车运行维护费 0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比上年增（减）0 万元，主要原因是：与上年安排保持一致 。</w:t>
      </w:r>
    </w:p>
    <w:p>
      <w:pPr>
        <w:pStyle w:val="3"/>
        <w:spacing w:before="1" w:line="328" w:lineRule="auto"/>
        <w:ind w:left="116" w:right="146" w:firstLine="640"/>
        <w:jc w:val="both"/>
        <w:rPr>
          <w:rFonts w:hint="eastAsia" w:ascii="仿宋_GB2312" w:hAnsi="Arial" w:eastAsia="仿宋_GB2312" w:cs="Arial"/>
          <w:color w:val="auto"/>
          <w:kern w:val="0"/>
          <w:sz w:val="32"/>
          <w:szCs w:val="32"/>
          <w:lang w:val="en-US" w:eastAsia="zh-CN" w:bidi="ar-SA"/>
        </w:rPr>
      </w:pPr>
      <w:r>
        <w:rPr>
          <w:rFonts w:hint="eastAsia" w:ascii="仿宋_GB2312" w:hAnsi="Arial" w:eastAsia="仿宋_GB2312" w:cs="Arial"/>
          <w:color w:val="auto"/>
          <w:kern w:val="0"/>
          <w:sz w:val="32"/>
          <w:szCs w:val="32"/>
          <w:lang w:val="en-US" w:eastAsia="zh-CN" w:bidi="ar-SA"/>
        </w:rPr>
        <w:t>公务用车购置 0 万元</w:t>
      </w:r>
      <w:r>
        <w:rPr>
          <w:rFonts w:hint="eastAsia" w:hAnsi="Arial" w:cs="Arial"/>
          <w:color w:val="auto"/>
          <w:kern w:val="0"/>
          <w:sz w:val="32"/>
          <w:szCs w:val="32"/>
          <w:lang w:val="en-US" w:eastAsia="zh-CN" w:bidi="ar-SA"/>
        </w:rPr>
        <w:t>，</w:t>
      </w:r>
      <w:r>
        <w:rPr>
          <w:rFonts w:hint="eastAsia" w:ascii="仿宋_GB2312" w:hAnsi="Arial" w:eastAsia="仿宋_GB2312" w:cs="Arial"/>
          <w:color w:val="auto"/>
          <w:kern w:val="0"/>
          <w:sz w:val="32"/>
          <w:szCs w:val="32"/>
          <w:lang w:val="en-US" w:eastAsia="zh-CN" w:bidi="ar-SA"/>
        </w:rPr>
        <w:t>比上年增（减） 0 万元，主要原因是：与上年安排保持一致。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20" w:lineRule="atLeast"/>
        <w:ind w:right="0" w:firstLine="640" w:firstLineChars="200"/>
        <w:rPr>
          <w:rFonts w:hint="default" w:ascii="仿宋_GB2312" w:hAnsi="Arial" w:eastAsia="仿宋_GB2312" w:cs="Arial"/>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2025年部门整体预算执行率为：83.16%</w:t>
      </w:r>
    </w:p>
    <w:p>
      <w:pPr>
        <w:pStyle w:val="3"/>
        <w:spacing w:before="1" w:line="328" w:lineRule="auto"/>
        <w:ind w:left="116" w:right="146" w:firstLine="640"/>
        <w:jc w:val="both"/>
        <w:rPr>
          <w:rFonts w:hint="eastAsia" w:ascii="仿宋_GB2312" w:hAnsi="Arial" w:eastAsia="仿宋_GB2312" w:cs="Arial"/>
          <w:color w:val="auto"/>
          <w:kern w:val="0"/>
          <w:sz w:val="32"/>
          <w:szCs w:val="32"/>
          <w:lang w:val="en-US" w:eastAsia="zh-CN" w:bidi="ar-SA"/>
        </w:rPr>
        <w:sectPr>
          <w:pgSz w:w="11910" w:h="16840"/>
          <w:pgMar w:top="1580" w:right="1380" w:bottom="280" w:left="1640" w:header="720" w:footer="720" w:gutter="0"/>
          <w:cols w:space="720" w:num="1"/>
        </w:sect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Arial" w:eastAsia="仿宋_GB2312" w:cs="Arial"/>
          <w:color w:val="auto"/>
          <w:kern w:val="0"/>
          <w:sz w:val="32"/>
          <w:szCs w:val="32"/>
          <w:lang w:val="en-US" w:eastAsia="en-US"/>
        </w:rPr>
      </w:pPr>
    </w:p>
    <w:p>
      <w:pPr>
        <w:autoSpaceDE w:val="0"/>
        <w:autoSpaceDN w:val="0"/>
        <w:adjustRightInd w:val="0"/>
        <w:spacing w:line="240" w:lineRule="auto"/>
        <w:ind w:firstLine="640" w:firstLineChars="200"/>
        <w:jc w:val="left"/>
        <w:rPr>
          <w:rFonts w:ascii="黑体" w:hAnsi="Times New Roman" w:eastAsia="黑体" w:cs="黑体"/>
          <w:kern w:val="0"/>
          <w:sz w:val="32"/>
          <w:szCs w:val="32"/>
        </w:rPr>
      </w:pPr>
      <w:r>
        <w:rPr>
          <w:rFonts w:hint="eastAsia" w:ascii="黑体" w:hAnsi="Times New Roman" w:eastAsia="黑体" w:cs="黑体"/>
          <w:kern w:val="0"/>
          <w:sz w:val="32"/>
          <w:szCs w:val="32"/>
          <w:lang w:val="en-US" w:eastAsia="zh-CN"/>
        </w:rPr>
        <w:t>八：</w:t>
      </w:r>
      <w:r>
        <w:rPr>
          <w:rFonts w:hint="eastAsia" w:ascii="黑体" w:hAnsi="Times New Roman" w:eastAsia="黑体" w:cs="黑体"/>
          <w:kern w:val="0"/>
          <w:sz w:val="32"/>
          <w:szCs w:val="32"/>
        </w:rPr>
        <w:t>部门整体支出绩效实现情况</w:t>
      </w:r>
    </w:p>
    <w:p>
      <w:pPr>
        <w:spacing w:line="240" w:lineRule="auto"/>
        <w:ind w:firstLine="643" w:firstLineChars="200"/>
        <w:rPr>
          <w:rFonts w:ascii="仿宋" w:hAnsi="仿宋" w:eastAsia="仿宋" w:cs="仿宋"/>
          <w:b/>
          <w:bCs/>
          <w:sz w:val="32"/>
          <w:szCs w:val="32"/>
          <w:lang w:val="en-US"/>
        </w:rPr>
      </w:pPr>
      <w:r>
        <w:rPr>
          <w:rFonts w:hint="eastAsia" w:ascii="仿宋" w:hAnsi="仿宋" w:eastAsia="仿宋" w:cs="仿宋"/>
          <w:b/>
          <w:bCs/>
          <w:sz w:val="32"/>
          <w:szCs w:val="32"/>
          <w:lang w:val="en-US"/>
        </w:rPr>
        <w:t>（</w:t>
      </w:r>
      <w:r>
        <w:rPr>
          <w:rFonts w:hint="eastAsia" w:ascii="仿宋" w:hAnsi="仿宋" w:eastAsia="仿宋" w:cs="仿宋"/>
          <w:b/>
          <w:bCs/>
          <w:color w:val="auto"/>
          <w:sz w:val="32"/>
          <w:szCs w:val="32"/>
          <w:lang w:val="en-US"/>
        </w:rPr>
        <w:t>一）履职完成情况：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color w:val="auto"/>
          <w:kern w:val="0"/>
          <w:sz w:val="32"/>
          <w:szCs w:val="32"/>
          <w:lang w:val="en-US"/>
        </w:rPr>
        <w:t>（1）数量指标</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r>
        <w:rPr>
          <w:rFonts w:hint="eastAsia" w:ascii="仿宋_GB2312" w:hAnsi="Arial" w:eastAsia="仿宋_GB2312" w:cs="Arial"/>
          <w:color w:val="auto"/>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960" w:firstLineChars="3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今年以来，招商引资项目数量3次；上级下派各项工作完成率，基层党建开展工作完成率，专项整治整改率，保障改善民生工作完成率及禁毒站工作完成率均达100%，</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质量指标（1</w:t>
      </w:r>
      <w:r>
        <w:rPr>
          <w:rFonts w:hint="eastAsia" w:ascii="仿宋_GB2312" w:hAnsi="Arial" w:eastAsia="仿宋_GB2312" w:cs="Arial"/>
          <w:color w:val="auto"/>
          <w:kern w:val="0"/>
          <w:sz w:val="32"/>
          <w:szCs w:val="32"/>
          <w:lang w:val="en-US" w:eastAsia="zh-CN"/>
        </w:rPr>
        <w:t>0</w:t>
      </w:r>
      <w:r>
        <w:rPr>
          <w:rFonts w:hint="eastAsia" w:ascii="仿宋_GB2312" w:hAnsi="Arial" w:eastAsia="仿宋_GB2312" w:cs="Arial"/>
          <w:color w:val="auto"/>
          <w:kern w:val="0"/>
          <w:sz w:val="32"/>
          <w:szCs w:val="32"/>
          <w:lang w:val="en-US"/>
        </w:rPr>
        <w:t>分）</w:t>
      </w:r>
      <w:r>
        <w:rPr>
          <w:rFonts w:ascii="宋体" w:hAnsi="宋体" w:eastAsia="宋体" w:cs="宋体"/>
          <w:sz w:val="24"/>
          <w:szCs w:val="24"/>
        </w:rPr>
        <w:br w:type="textWrapping"/>
      </w:r>
      <w:r>
        <w:rPr>
          <w:rFonts w:hint="eastAsia" w:ascii="仿宋_GB2312" w:hAnsi="仿宋_GB2312" w:eastAsia="仿宋_GB2312" w:cs="仿宋_GB2312"/>
          <w:color w:val="auto"/>
          <w:sz w:val="32"/>
          <w:szCs w:val="32"/>
          <w:lang w:val="en-US" w:eastAsia="zh-CN"/>
        </w:rPr>
        <w:t>人大工作完成合规性，保障改善民生工作合规性及基层党建开展工作合规性都基本达成目标，</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10</w:t>
      </w:r>
      <w:r>
        <w:rPr>
          <w:rFonts w:hint="eastAsia" w:ascii="仿宋_GB2312" w:hAnsi="Arial" w:eastAsia="仿宋_GB2312" w:cs="Arial"/>
          <w:color w:val="auto"/>
          <w:kern w:val="0"/>
          <w:sz w:val="32"/>
          <w:szCs w:val="32"/>
          <w:lang w:val="en-US"/>
        </w:rPr>
        <w:t>分</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w:t>
      </w:r>
      <w:r>
        <w:rPr>
          <w:rFonts w:hint="eastAsia" w:ascii="仿宋_GB2312" w:hAnsi="Arial" w:eastAsia="仿宋_GB2312" w:cs="Arial"/>
          <w:color w:val="auto"/>
          <w:kern w:val="0"/>
          <w:sz w:val="32"/>
          <w:szCs w:val="32"/>
          <w:lang w:val="en-US" w:eastAsia="zh-CN"/>
        </w:rPr>
        <w:t>3</w:t>
      </w:r>
      <w:r>
        <w:rPr>
          <w:rFonts w:hint="eastAsia" w:ascii="仿宋_GB2312" w:hAnsi="Arial" w:eastAsia="仿宋_GB2312" w:cs="Arial"/>
          <w:color w:val="auto"/>
          <w:kern w:val="0"/>
          <w:sz w:val="32"/>
          <w:szCs w:val="32"/>
          <w:lang w:val="en-US"/>
        </w:rPr>
        <w:t>）时效指标</w:t>
      </w:r>
      <w:r>
        <w:rPr>
          <w:rFonts w:hint="eastAsia" w:ascii="仿宋_GB2312" w:hAnsi="Arial" w:eastAsia="仿宋_GB2312" w:cs="Arial"/>
          <w:color w:val="auto"/>
          <w:kern w:val="0"/>
          <w:sz w:val="32"/>
          <w:szCs w:val="32"/>
          <w:lang w:val="en-US" w:eastAsia="zh-CN"/>
        </w:rPr>
        <w:t>(10</w:t>
      </w:r>
      <w:r>
        <w:rPr>
          <w:rFonts w:hint="eastAsia" w:ascii="仿宋_GB2312" w:hAnsi="Arial" w:eastAsia="仿宋_GB2312" w:cs="Arial"/>
          <w:color w:val="auto"/>
          <w:kern w:val="0"/>
          <w:sz w:val="32"/>
          <w:szCs w:val="32"/>
          <w:lang w:val="en-US"/>
        </w:rPr>
        <w:t>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上级下派各项工作完成及时率，招商引资及时率，禁毒站工作及时率，专项整治及时率，保障改善民生工作及时率均达100%，</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10</w:t>
      </w:r>
      <w:r>
        <w:rPr>
          <w:rFonts w:hint="eastAsia" w:ascii="仿宋_GB2312" w:hAnsi="Arial" w:eastAsia="仿宋_GB2312" w:cs="Arial"/>
          <w:color w:val="auto"/>
          <w:kern w:val="0"/>
          <w:sz w:val="32"/>
          <w:szCs w:val="32"/>
          <w:lang w:val="en-US"/>
        </w:rPr>
        <w:t>分</w:t>
      </w:r>
      <w:r>
        <w:rPr>
          <w:rFonts w:hint="eastAsia" w:ascii="仿宋_GB2312" w:hAnsi="仿宋_GB2312" w:eastAsia="仿宋_GB2312" w:cs="仿宋_GB2312"/>
          <w:color w:val="auto"/>
          <w:sz w:val="32"/>
          <w:szCs w:val="32"/>
          <w:lang w:val="en-US" w:eastAsia="zh-CN"/>
        </w:rPr>
        <w:t>。</w:t>
      </w:r>
    </w:p>
    <w:p>
      <w:pPr>
        <w:spacing w:line="240" w:lineRule="auto"/>
        <w:ind w:firstLine="643" w:firstLineChars="200"/>
        <w:rPr>
          <w:rFonts w:hint="eastAsia" w:ascii="仿宋" w:hAnsi="仿宋" w:eastAsia="仿宋" w:cs="仿宋"/>
          <w:b/>
          <w:bCs/>
          <w:sz w:val="32"/>
          <w:szCs w:val="32"/>
          <w:lang w:val="en-US"/>
        </w:rPr>
      </w:pPr>
      <w:r>
        <w:rPr>
          <w:rFonts w:hint="eastAsia" w:ascii="仿宋" w:hAnsi="仿宋" w:eastAsia="仿宋" w:cs="仿宋"/>
          <w:b/>
          <w:bCs/>
          <w:sz w:val="32"/>
          <w:szCs w:val="32"/>
          <w:lang w:val="en-US"/>
        </w:rPr>
        <w:t>（二</w:t>
      </w:r>
      <w:r>
        <w:rPr>
          <w:rFonts w:hint="eastAsia" w:ascii="仿宋" w:hAnsi="仿宋" w:eastAsia="仿宋" w:cs="仿宋"/>
          <w:b/>
          <w:bCs/>
          <w:color w:val="auto"/>
          <w:sz w:val="32"/>
          <w:szCs w:val="32"/>
          <w:lang w:val="en-US"/>
        </w:rPr>
        <w:t>）履职效果情况：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w:t>
      </w:r>
      <w:r>
        <w:rPr>
          <w:rFonts w:hint="eastAsia" w:ascii="仿宋_GB2312" w:hAnsi="Arial" w:eastAsia="仿宋_GB2312" w:cs="Arial"/>
          <w:color w:val="auto"/>
          <w:kern w:val="0"/>
          <w:sz w:val="32"/>
          <w:szCs w:val="32"/>
          <w:lang w:val="en-US" w:eastAsia="zh-CN"/>
        </w:rPr>
        <w:t>1</w:t>
      </w:r>
      <w:r>
        <w:rPr>
          <w:rFonts w:hint="eastAsia" w:ascii="仿宋_GB2312" w:hAnsi="Arial" w:eastAsia="仿宋_GB2312" w:cs="Arial"/>
          <w:color w:val="auto"/>
          <w:kern w:val="0"/>
          <w:sz w:val="32"/>
          <w:szCs w:val="32"/>
          <w:lang w:val="en-US"/>
        </w:rPr>
        <w:t>）社会效益</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color w:val="auto"/>
          <w:kern w:val="0"/>
          <w:sz w:val="32"/>
          <w:szCs w:val="32"/>
          <w:lang w:val="en-US"/>
        </w:rPr>
        <w:t>通过202</w:t>
      </w:r>
      <w:r>
        <w:rPr>
          <w:rFonts w:hint="eastAsia" w:ascii="仿宋_GB2312" w:hAnsi="Arial" w:eastAsia="仿宋_GB2312" w:cs="Arial"/>
          <w:color w:val="auto"/>
          <w:kern w:val="0"/>
          <w:sz w:val="32"/>
          <w:szCs w:val="32"/>
          <w:lang w:val="en-US" w:eastAsia="zh-CN"/>
        </w:rPr>
        <w:t>5</w:t>
      </w:r>
      <w:r>
        <w:rPr>
          <w:rFonts w:hint="eastAsia" w:ascii="仿宋_GB2312" w:hAnsi="Arial" w:eastAsia="仿宋_GB2312" w:cs="Arial"/>
          <w:color w:val="auto"/>
          <w:kern w:val="0"/>
          <w:sz w:val="32"/>
          <w:szCs w:val="32"/>
          <w:lang w:val="en-US"/>
        </w:rPr>
        <w:t>年工作开展所带来的社会效益，公众安全感提升情况</w:t>
      </w:r>
      <w:r>
        <w:rPr>
          <w:rFonts w:hint="eastAsia" w:ascii="仿宋_GB2312" w:hAnsi="Arial" w:eastAsia="仿宋_GB2312" w:cs="Arial"/>
          <w:color w:val="auto"/>
          <w:kern w:val="0"/>
          <w:sz w:val="32"/>
          <w:szCs w:val="32"/>
          <w:lang w:val="en-US" w:eastAsia="zh-CN"/>
        </w:rPr>
        <w:t>以及</w:t>
      </w:r>
      <w:r>
        <w:rPr>
          <w:rFonts w:hint="eastAsia" w:ascii="仿宋_GB2312" w:hAnsi="Arial" w:eastAsia="仿宋_GB2312" w:cs="Arial"/>
          <w:color w:val="auto"/>
          <w:kern w:val="0"/>
          <w:sz w:val="32"/>
          <w:szCs w:val="32"/>
          <w:lang w:val="en-US"/>
        </w:rPr>
        <w:t>居民文明素质提升</w:t>
      </w:r>
      <w:r>
        <w:rPr>
          <w:rFonts w:hint="eastAsia" w:ascii="仿宋_GB2312" w:hAnsi="Arial" w:eastAsia="仿宋_GB2312" w:cs="Arial"/>
          <w:color w:val="auto"/>
          <w:kern w:val="0"/>
          <w:sz w:val="32"/>
          <w:szCs w:val="32"/>
          <w:lang w:val="en-US" w:eastAsia="zh-CN"/>
        </w:rPr>
        <w:t>均有所提升，</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r>
        <w:rPr>
          <w:rFonts w:hint="eastAsia" w:ascii="仿宋_GB2312" w:hAnsi="Arial" w:eastAsia="仿宋_GB2312" w:cs="Arial"/>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Arial" w:eastAsia="仿宋_GB2312" w:cs="Arial"/>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w:t>
      </w:r>
      <w:r>
        <w:rPr>
          <w:rFonts w:hint="eastAsia" w:ascii="仿宋_GB2312" w:hAnsi="Arial" w:eastAsia="仿宋_GB2312" w:cs="Arial"/>
          <w:color w:val="auto"/>
          <w:kern w:val="0"/>
          <w:sz w:val="32"/>
          <w:szCs w:val="32"/>
          <w:lang w:val="en-US" w:eastAsia="zh-CN"/>
        </w:rPr>
        <w:t>2</w:t>
      </w:r>
      <w:r>
        <w:rPr>
          <w:rFonts w:hint="eastAsia" w:ascii="仿宋_GB2312" w:hAnsi="Arial" w:eastAsia="仿宋_GB2312" w:cs="Arial"/>
          <w:color w:val="auto"/>
          <w:kern w:val="0"/>
          <w:sz w:val="32"/>
          <w:szCs w:val="32"/>
          <w:lang w:val="en-US"/>
        </w:rPr>
        <w:t>）生态效益</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提升城市功能品质，美化了城市环境基本达成目标</w:t>
      </w:r>
      <w:r>
        <w:rPr>
          <w:rFonts w:hint="eastAsia" w:ascii="仿宋_GB2312" w:hAnsi="Arial" w:eastAsia="仿宋_GB2312" w:cs="Arial"/>
          <w:color w:val="auto"/>
          <w:kern w:val="0"/>
          <w:sz w:val="32"/>
          <w:szCs w:val="32"/>
          <w:lang w:val="en-US" w:eastAsia="zh-CN"/>
        </w:rPr>
        <w:t>，</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20</w:t>
      </w:r>
      <w:r>
        <w:rPr>
          <w:rFonts w:hint="eastAsia" w:ascii="仿宋_GB2312" w:hAnsi="Arial" w:eastAsia="仿宋_GB2312" w:cs="Arial"/>
          <w:color w:val="auto"/>
          <w:kern w:val="0"/>
          <w:sz w:val="32"/>
          <w:szCs w:val="32"/>
          <w:lang w:val="en-US"/>
        </w:rPr>
        <w:t>分。</w:t>
      </w:r>
    </w:p>
    <w:p>
      <w:pPr>
        <w:spacing w:line="240" w:lineRule="auto"/>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rPr>
        <w:t>（三）社会满意度</w:t>
      </w:r>
      <w:r>
        <w:rPr>
          <w:rFonts w:hint="eastAsia" w:ascii="仿宋" w:hAnsi="仿宋" w:eastAsia="仿宋" w:cs="仿宋"/>
          <w:b/>
          <w:bCs/>
          <w:sz w:val="32"/>
          <w:szCs w:val="32"/>
          <w:lang w:val="en-US" w:eastAsia="zh-CN"/>
        </w:rPr>
        <w:t>(20</w:t>
      </w:r>
      <w:r>
        <w:rPr>
          <w:rFonts w:hint="eastAsia" w:ascii="仿宋" w:hAnsi="仿宋" w:eastAsia="仿宋" w:cs="仿宋"/>
          <w:b/>
          <w:bCs/>
          <w:sz w:val="32"/>
          <w:szCs w:val="32"/>
          <w:lang w:val="en-US"/>
        </w:rPr>
        <w:t>分</w:t>
      </w:r>
      <w:r>
        <w:rPr>
          <w:rFonts w:hint="eastAsia" w:ascii="仿宋" w:hAnsi="仿宋" w:eastAsia="仿宋" w:cs="仿宋"/>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rPr>
      </w:pPr>
      <w:r>
        <w:rPr>
          <w:rFonts w:hint="eastAsia" w:ascii="仿宋_GB2312" w:hAnsi="Arial" w:eastAsia="仿宋_GB2312" w:cs="Arial"/>
          <w:color w:val="auto"/>
          <w:kern w:val="0"/>
          <w:sz w:val="32"/>
          <w:szCs w:val="32"/>
          <w:lang w:val="en-US"/>
        </w:rPr>
        <w:t>通过调查，按照</w:t>
      </w:r>
      <w:r>
        <w:rPr>
          <w:rFonts w:hint="eastAsia" w:ascii="仿宋_GB2312" w:hAnsi="Arial" w:eastAsia="仿宋_GB2312" w:cs="Arial"/>
          <w:color w:val="auto"/>
          <w:kern w:val="0"/>
          <w:sz w:val="32"/>
          <w:szCs w:val="32"/>
          <w:lang w:val="en-US" w:eastAsia="zh-CN"/>
        </w:rPr>
        <w:t>要求</w:t>
      </w:r>
      <w:r>
        <w:rPr>
          <w:rFonts w:hint="eastAsia" w:ascii="仿宋_GB2312" w:hAnsi="Arial" w:eastAsia="仿宋_GB2312" w:cs="Arial"/>
          <w:color w:val="auto"/>
          <w:kern w:val="0"/>
          <w:sz w:val="32"/>
          <w:szCs w:val="32"/>
          <w:lang w:val="en-US"/>
        </w:rPr>
        <w:t>社会群众进行满意度测评，测评</w:t>
      </w:r>
      <w:r>
        <w:rPr>
          <w:rFonts w:hint="eastAsia" w:ascii="仿宋_GB2312" w:hAnsi="Arial" w:eastAsia="仿宋_GB2312" w:cs="Arial"/>
          <w:color w:val="auto"/>
          <w:kern w:val="0"/>
          <w:sz w:val="32"/>
          <w:szCs w:val="32"/>
          <w:lang w:val="en-US" w:eastAsia="zh-CN"/>
        </w:rPr>
        <w:t>结果≥95</w:t>
      </w:r>
      <w:r>
        <w:rPr>
          <w:rFonts w:hint="eastAsia" w:ascii="仿宋_GB2312" w:hAnsi="Arial" w:eastAsia="仿宋_GB2312" w:cs="Arial"/>
          <w:color w:val="auto"/>
          <w:kern w:val="0"/>
          <w:sz w:val="32"/>
          <w:szCs w:val="32"/>
          <w:lang w:val="en-US"/>
        </w:rPr>
        <w:t>%。依据评分标准，得</w:t>
      </w:r>
      <w:r>
        <w:rPr>
          <w:rFonts w:hint="eastAsia" w:ascii="仿宋_GB2312" w:hAnsi="Arial" w:eastAsia="仿宋_GB2312" w:cs="Arial"/>
          <w:color w:val="auto"/>
          <w:kern w:val="0"/>
          <w:sz w:val="32"/>
          <w:szCs w:val="32"/>
          <w:lang w:val="en-US" w:eastAsia="zh-CN"/>
        </w:rPr>
        <w:t>16.6</w:t>
      </w:r>
      <w:r>
        <w:rPr>
          <w:rFonts w:hint="eastAsia" w:ascii="仿宋_GB2312" w:hAnsi="Arial" w:eastAsia="仿宋_GB2312" w:cs="Arial"/>
          <w:color w:val="auto"/>
          <w:kern w:val="0"/>
          <w:sz w:val="32"/>
          <w:szCs w:val="32"/>
          <w:lang w:val="en-US"/>
        </w:rPr>
        <w:t>分。</w:t>
      </w:r>
    </w:p>
    <w:p>
      <w:pPr>
        <w:autoSpaceDE w:val="0"/>
        <w:autoSpaceDN w:val="0"/>
        <w:adjustRightInd w:val="0"/>
        <w:spacing w:line="240" w:lineRule="auto"/>
        <w:ind w:firstLine="640" w:firstLineChars="200"/>
        <w:jc w:val="left"/>
        <w:rPr>
          <w:rFonts w:ascii="黑体" w:hAnsi="Times New Roman" w:eastAsia="黑体" w:cs="黑体"/>
          <w:color w:val="auto"/>
          <w:kern w:val="0"/>
          <w:sz w:val="32"/>
          <w:szCs w:val="32"/>
        </w:rPr>
      </w:pPr>
      <w:r>
        <w:rPr>
          <w:rFonts w:hint="eastAsia" w:ascii="黑体" w:hAnsi="Times New Roman" w:eastAsia="黑体" w:cs="黑体"/>
          <w:color w:val="auto"/>
          <w:kern w:val="0"/>
          <w:sz w:val="32"/>
          <w:szCs w:val="32"/>
          <w:lang w:val="en-US" w:eastAsia="zh-CN"/>
        </w:rPr>
        <w:t>九</w:t>
      </w:r>
      <w:r>
        <w:rPr>
          <w:rFonts w:hint="eastAsia" w:ascii="黑体" w:hAnsi="Times New Roman" w:eastAsia="黑体" w:cs="黑体"/>
          <w:color w:val="auto"/>
          <w:kern w:val="0"/>
          <w:sz w:val="32"/>
          <w:szCs w:val="32"/>
        </w:rPr>
        <w:t>、部门整体支出绩效中存在问题及改进措施</w:t>
      </w:r>
    </w:p>
    <w:p>
      <w:pPr>
        <w:autoSpaceDE w:val="0"/>
        <w:autoSpaceDN w:val="0"/>
        <w:adjustRightInd w:val="0"/>
        <w:spacing w:line="240" w:lineRule="auto"/>
        <w:ind w:firstLine="643" w:firstLineChars="200"/>
        <w:jc w:val="left"/>
        <w:rPr>
          <w:rFonts w:hint="eastAsia" w:ascii="仿宋_GB2312" w:hAnsi="Times New Roman" w:eastAsia="仿宋_GB2312" w:cs="仿宋_GB2312"/>
          <w:b/>
          <w:bCs/>
          <w:kern w:val="0"/>
          <w:sz w:val="32"/>
          <w:szCs w:val="32"/>
        </w:rPr>
      </w:pPr>
      <w:r>
        <w:rPr>
          <w:rFonts w:hint="eastAsia" w:ascii="仿宋_GB2312" w:hAnsi="Times New Roman" w:eastAsia="仿宋_GB2312" w:cs="仿宋_GB2312"/>
          <w:b/>
          <w:bCs/>
          <w:kern w:val="0"/>
          <w:sz w:val="32"/>
          <w:szCs w:val="32"/>
        </w:rPr>
        <w:t>（一）主要问题及原因分析。</w:t>
      </w:r>
    </w:p>
    <w:p>
      <w:pPr>
        <w:keepNext w:val="0"/>
        <w:keepLines w:val="0"/>
        <w:pageBreakBefore w:val="0"/>
        <w:kinsoku/>
        <w:wordWrap/>
        <w:overflowPunct/>
        <w:topLinePunct w:val="0"/>
        <w:autoSpaceDE w:val="0"/>
        <w:autoSpaceDN w:val="0"/>
        <w:bidi w:val="0"/>
        <w:adjustRightInd/>
        <w:snapToGrid/>
        <w:spacing w:line="560" w:lineRule="exact"/>
        <w:ind w:firstLine="643" w:firstLineChars="200"/>
        <w:textAlignment w:val="auto"/>
        <w:rPr>
          <w:rFonts w:hint="eastAsia" w:ascii="仿宋" w:hAnsi="仿宋" w:eastAsia="仿宋" w:cs="仿宋_GB2312"/>
          <w:sz w:val="32"/>
          <w:szCs w:val="32"/>
        </w:rPr>
      </w:pPr>
      <w:r>
        <w:rPr>
          <w:rFonts w:ascii="仿宋" w:hAnsi="仿宋" w:eastAsia="仿宋" w:cs="仿宋_GB2312"/>
          <w:b/>
          <w:bCs/>
          <w:sz w:val="32"/>
          <w:szCs w:val="32"/>
        </w:rPr>
        <w:t>1</w:t>
      </w:r>
      <w:r>
        <w:rPr>
          <w:rFonts w:hint="eastAsia" w:ascii="仿宋" w:hAnsi="仿宋" w:eastAsia="仿宋" w:cs="仿宋_GB2312"/>
          <w:b/>
          <w:bCs/>
          <w:sz w:val="32"/>
          <w:szCs w:val="32"/>
        </w:rPr>
        <w:t>、绩效管理理念有待加强。</w:t>
      </w:r>
      <w:r>
        <w:rPr>
          <w:rFonts w:hint="eastAsia" w:ascii="仿宋" w:hAnsi="仿宋" w:eastAsia="仿宋" w:cs="仿宋_GB2312"/>
          <w:sz w:val="32"/>
          <w:szCs w:val="32"/>
        </w:rPr>
        <w:t>由于绩效管理推行时间不长，存在对绩效管理工作的重视不够现象。</w:t>
      </w:r>
    </w:p>
    <w:p>
      <w:pPr>
        <w:keepNext w:val="0"/>
        <w:keepLines w:val="0"/>
        <w:pageBreakBefore w:val="0"/>
        <w:kinsoku/>
        <w:wordWrap/>
        <w:overflowPunct/>
        <w:topLinePunct w:val="0"/>
        <w:autoSpaceDE w:val="0"/>
        <w:autoSpaceDN w:val="0"/>
        <w:bidi w:val="0"/>
        <w:adjustRightInd/>
        <w:snapToGrid/>
        <w:spacing w:line="560" w:lineRule="exact"/>
        <w:ind w:firstLine="643" w:firstLineChars="200"/>
        <w:textAlignment w:val="auto"/>
        <w:rPr>
          <w:rFonts w:hint="eastAsia" w:ascii="仿宋" w:hAnsi="仿宋" w:eastAsia="仿宋" w:cs="仿宋_GB2312"/>
          <w:sz w:val="32"/>
          <w:szCs w:val="32"/>
        </w:rPr>
      </w:pPr>
      <w:r>
        <w:rPr>
          <w:rFonts w:ascii="仿宋" w:hAnsi="仿宋" w:eastAsia="仿宋" w:cs="仿宋_GB2312"/>
          <w:b/>
          <w:bCs/>
          <w:sz w:val="32"/>
          <w:szCs w:val="32"/>
        </w:rPr>
        <w:t>2</w:t>
      </w:r>
      <w:r>
        <w:rPr>
          <w:rFonts w:hint="eastAsia" w:ascii="仿宋" w:hAnsi="仿宋" w:eastAsia="仿宋" w:cs="仿宋_GB2312"/>
          <w:b/>
          <w:bCs/>
          <w:sz w:val="32"/>
          <w:szCs w:val="32"/>
        </w:rPr>
        <w:t>、绩效评价指标不够完善。</w:t>
      </w:r>
      <w:r>
        <w:rPr>
          <w:rFonts w:hint="eastAsia" w:ascii="仿宋" w:hAnsi="仿宋" w:eastAsia="仿宋" w:cs="仿宋_GB2312"/>
          <w:sz w:val="32"/>
          <w:szCs w:val="32"/>
        </w:rPr>
        <w:t>定量指标不够细化，评价指标的科学性、合理性有待加强。</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Arial" w:eastAsia="仿宋_GB2312" w:cs="Arial"/>
          <w:b/>
          <w:bCs/>
          <w:color w:val="auto"/>
          <w:kern w:val="0"/>
          <w:sz w:val="32"/>
          <w:szCs w:val="32"/>
          <w:lang w:val="en-US" w:eastAsia="zh-CN"/>
        </w:rPr>
      </w:pPr>
      <w:r>
        <w:rPr>
          <w:rFonts w:hint="eastAsia" w:ascii="仿宋_GB2312" w:hAnsi="Arial" w:eastAsia="仿宋_GB2312" w:cs="Arial"/>
          <w:b/>
          <w:bCs/>
          <w:color w:val="auto"/>
          <w:kern w:val="0"/>
          <w:sz w:val="32"/>
          <w:szCs w:val="32"/>
          <w:lang w:val="en-US" w:eastAsia="zh-CN"/>
        </w:rPr>
        <w:t>（二）改进的方向和具体措施</w:t>
      </w:r>
    </w:p>
    <w:p>
      <w:pPr>
        <w:keepNext w:val="0"/>
        <w:keepLines w:val="0"/>
        <w:pageBreakBefore w:val="0"/>
        <w:kinsoku/>
        <w:wordWrap/>
        <w:overflowPunct/>
        <w:topLinePunct w:val="0"/>
        <w:autoSpaceDE w:val="0"/>
        <w:autoSpaceDN w:val="0"/>
        <w:bidi w:val="0"/>
        <w:adjustRightInd/>
        <w:snapToGrid/>
        <w:spacing w:line="560" w:lineRule="exact"/>
        <w:ind w:firstLine="643" w:firstLineChars="200"/>
        <w:textAlignment w:val="auto"/>
        <w:rPr>
          <w:rFonts w:hint="eastAsia" w:ascii="仿宋" w:hAnsi="仿宋" w:eastAsia="仿宋" w:cs="仿宋_GB2312"/>
          <w:sz w:val="32"/>
          <w:szCs w:val="32"/>
        </w:rPr>
      </w:pPr>
      <w:r>
        <w:rPr>
          <w:rFonts w:hint="eastAsia" w:ascii="仿宋" w:hAnsi="仿宋" w:eastAsia="仿宋" w:cs="仿宋_GB2312"/>
          <w:b/>
          <w:bCs/>
          <w:sz w:val="32"/>
          <w:szCs w:val="32"/>
        </w:rPr>
        <w:t>1、加强领导，强化绩效管理理念。</w:t>
      </w:r>
      <w:r>
        <w:rPr>
          <w:rFonts w:hint="eastAsia" w:ascii="仿宋" w:hAnsi="仿宋" w:eastAsia="仿宋" w:cs="仿宋_GB2312"/>
          <w:sz w:val="32"/>
          <w:szCs w:val="32"/>
        </w:rPr>
        <w:t>按照“结合实际，突出重点，尽量量化，便于操作”的原则，制定科学、合理的绩效评价指标体系。</w:t>
      </w:r>
    </w:p>
    <w:p>
      <w:pPr>
        <w:keepNext w:val="0"/>
        <w:keepLines w:val="0"/>
        <w:pageBreakBefore w:val="0"/>
        <w:kinsoku/>
        <w:wordWrap/>
        <w:overflowPunct/>
        <w:topLinePunct w:val="0"/>
        <w:autoSpaceDE w:val="0"/>
        <w:autoSpaceDN w:val="0"/>
        <w:bidi w:val="0"/>
        <w:adjustRightInd/>
        <w:snapToGrid/>
        <w:spacing w:line="560" w:lineRule="exact"/>
        <w:ind w:firstLine="643" w:firstLineChars="200"/>
        <w:textAlignment w:val="auto"/>
        <w:rPr>
          <w:rFonts w:hint="eastAsia"/>
          <w:lang w:val="en-US" w:eastAsia="zh-CN"/>
        </w:rPr>
      </w:pPr>
      <w:r>
        <w:rPr>
          <w:rFonts w:hint="eastAsia" w:ascii="仿宋" w:hAnsi="仿宋" w:eastAsia="仿宋" w:cs="仿宋_GB2312"/>
          <w:b/>
          <w:bCs/>
          <w:sz w:val="32"/>
          <w:szCs w:val="32"/>
        </w:rPr>
        <w:t>2、加强队伍建设。</w:t>
      </w:r>
      <w:r>
        <w:rPr>
          <w:rFonts w:hint="eastAsia" w:ascii="仿宋" w:hAnsi="仿宋" w:eastAsia="仿宋" w:cs="仿宋_GB2312"/>
          <w:sz w:val="32"/>
          <w:szCs w:val="32"/>
        </w:rPr>
        <w:t>抓好绩效评价的队伍建设和业务建设，加强绩效评价知识的掌握，建立绩效评价的长效机制。</w:t>
      </w:r>
    </w:p>
    <w:p>
      <w:pPr>
        <w:autoSpaceDE w:val="0"/>
        <w:autoSpaceDN w:val="0"/>
        <w:adjustRightInd w:val="0"/>
        <w:spacing w:line="240" w:lineRule="auto"/>
        <w:ind w:firstLine="640" w:firstLineChars="200"/>
        <w:jc w:val="left"/>
        <w:rPr>
          <w:rFonts w:hint="eastAsia" w:ascii="黑体" w:hAnsi="Times New Roman" w:eastAsia="黑体" w:cs="黑体"/>
          <w:kern w:val="0"/>
          <w:sz w:val="32"/>
          <w:szCs w:val="32"/>
          <w:lang w:val="en-US" w:eastAsia="zh-CN"/>
        </w:rPr>
      </w:pPr>
      <w:r>
        <w:rPr>
          <w:rFonts w:hint="eastAsia" w:ascii="黑体" w:hAnsi="Times New Roman" w:eastAsia="黑体" w:cs="黑体"/>
          <w:kern w:val="0"/>
          <w:sz w:val="32"/>
          <w:szCs w:val="32"/>
          <w:lang w:val="en-US" w:eastAsia="zh-CN"/>
        </w:rPr>
        <w:t>十、绩效自评结果拟应用和公开情况</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b/>
          <w:bCs/>
          <w:color w:val="auto"/>
          <w:kern w:val="0"/>
          <w:sz w:val="32"/>
          <w:szCs w:val="32"/>
          <w:lang w:val="en-US" w:eastAsia="zh-CN"/>
        </w:rPr>
        <w:t>（一）实现预算财务分析常态化。</w:t>
      </w:r>
      <w:r>
        <w:rPr>
          <w:rFonts w:hint="eastAsia" w:ascii="仿宋_GB2312" w:hAnsi="Arial" w:eastAsia="仿宋_GB2312" w:cs="Arial"/>
          <w:color w:val="auto"/>
          <w:kern w:val="0"/>
          <w:sz w:val="32"/>
          <w:szCs w:val="32"/>
          <w:lang w:val="en-US" w:eastAsia="zh-CN"/>
        </w:rPr>
        <w:t>定期做好支出预算财务分析，及时向街道领导汇报预算支出情况，对可能出现调整、追加预算的项目要及时进行报告，对可能超预算的项目要及时进行预警分析，实现预算执行的均衡性。</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Arial" w:eastAsia="仿宋_GB2312" w:cs="Arial"/>
          <w:b/>
          <w:bCs/>
          <w:color w:val="auto"/>
          <w:kern w:val="0"/>
          <w:sz w:val="32"/>
          <w:szCs w:val="32"/>
          <w:lang w:val="en-US" w:eastAsia="zh-CN"/>
        </w:rPr>
      </w:pPr>
      <w:r>
        <w:rPr>
          <w:rFonts w:hint="eastAsia" w:ascii="仿宋_GB2312" w:hAnsi="Arial" w:eastAsia="仿宋_GB2312" w:cs="Arial"/>
          <w:b/>
          <w:bCs/>
          <w:color w:val="auto"/>
          <w:kern w:val="0"/>
          <w:sz w:val="32"/>
          <w:szCs w:val="32"/>
          <w:lang w:val="en-US" w:eastAsia="zh-CN"/>
        </w:rPr>
        <w:t>（二）完善内控制度，特别是完善项目资金管理办法。</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color w:val="auto"/>
          <w:kern w:val="0"/>
          <w:sz w:val="32"/>
          <w:szCs w:val="32"/>
          <w:lang w:val="en-US" w:eastAsia="zh-CN"/>
        </w:rPr>
        <w:t>随着项目资金的增加，我们要始终坚持所有专项资金“先定办法，后分资金”，进一步完善项目资金管理办法，使项目资金的使用更规范、更合理，发挥更大的效益。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b/>
          <w:bCs/>
          <w:color w:val="auto"/>
          <w:kern w:val="0"/>
          <w:sz w:val="32"/>
          <w:szCs w:val="32"/>
          <w:lang w:val="en-US" w:eastAsia="zh-CN"/>
        </w:rPr>
        <w:t>（三）建议进一步加大宣传、指导和培训力度。</w:t>
      </w:r>
      <w:r>
        <w:rPr>
          <w:rFonts w:hint="eastAsia" w:ascii="仿宋_GB2312" w:hAnsi="Arial" w:eastAsia="仿宋_GB2312" w:cs="Arial"/>
          <w:color w:val="auto"/>
          <w:kern w:val="0"/>
          <w:sz w:val="32"/>
          <w:szCs w:val="32"/>
          <w:lang w:val="en-US" w:eastAsia="zh-CN"/>
        </w:rPr>
        <w:t>部门整体支出绩效评价是一项与时俱进工作，需要进一步加大宣传力度，营造出预算整体支出绩效评价的良好氛围，让预算整体支出绩效评价理念贯穿于财务工作始终。</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r>
        <w:rPr>
          <w:rFonts w:hint="eastAsia" w:ascii="仿宋_GB2312" w:hAnsi="Arial" w:eastAsia="仿宋_GB2312" w:cs="Arial"/>
          <w:color w:val="auto"/>
          <w:kern w:val="0"/>
          <w:sz w:val="32"/>
          <w:szCs w:val="32"/>
          <w:lang w:val="en-US" w:eastAsia="zh-CN"/>
        </w:rPr>
        <w:t> </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Arial" w:eastAsia="仿宋_GB2312" w:cs="Arial"/>
          <w:color w:val="auto"/>
          <w:kern w:val="0"/>
          <w:sz w:val="32"/>
          <w:szCs w:val="32"/>
          <w:lang w:val="en-US" w:eastAsia="zh-CN"/>
        </w:rPr>
      </w:pPr>
    </w:p>
    <w:sectPr>
      <w:headerReference r:id="rId3" w:type="default"/>
      <w:footerReference r:id="rId4" w:type="default"/>
      <w:footerReference r:id="rId5" w:type="even"/>
      <w:pgSz w:w="11906" w:h="16838"/>
      <w:pgMar w:top="2098" w:right="1474" w:bottom="1985" w:left="1588" w:header="851" w:footer="992" w:gutter="0"/>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0C775EE-6C9F-4B61-A76E-E5715F3BE3B3}"/>
  </w:font>
  <w:font w:name="黑体">
    <w:panose1 w:val="02010609060101010101"/>
    <w:charset w:val="86"/>
    <w:family w:val="auto"/>
    <w:pitch w:val="default"/>
    <w:sig w:usb0="800002BF" w:usb1="38CF7CFA" w:usb2="00000016" w:usb3="00000000" w:csb0="00040001" w:csb1="00000000"/>
    <w:embedRegular r:id="rId2" w:fontKey="{7CDE737D-9EF1-4CA2-BC7F-3E642BB32CF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2AF6D72-8E0D-47D1-8D7D-3C0E0E4957CF}"/>
  </w:font>
  <w:font w:name="仿宋">
    <w:panose1 w:val="02010609060101010101"/>
    <w:charset w:val="86"/>
    <w:family w:val="auto"/>
    <w:pitch w:val="default"/>
    <w:sig w:usb0="800002BF" w:usb1="38CF7CFA" w:usb2="00000016" w:usb3="00000000" w:csb0="00040001" w:csb1="00000000"/>
    <w:embedRegular r:id="rId4" w:fontKey="{9330EF08-043D-4F87-9994-D8303F46F8B4}"/>
  </w:font>
  <w:font w:name="仿宋_GB2312">
    <w:panose1 w:val="02010609030101010101"/>
    <w:charset w:val="86"/>
    <w:family w:val="modern"/>
    <w:pitch w:val="default"/>
    <w:sig w:usb0="00000001" w:usb1="080E0000" w:usb2="00000000" w:usb3="00000000" w:csb0="00040000" w:csb1="00000000"/>
    <w:embedRegular r:id="rId5" w:fontKey="{7334CDDF-91F9-4306-8782-935ED97DF08E}"/>
  </w:font>
  <w:font w:name="方正小标宋简体">
    <w:panose1 w:val="02000000000000000000"/>
    <w:charset w:val="86"/>
    <w:family w:val="auto"/>
    <w:pitch w:val="default"/>
    <w:sig w:usb0="00000001" w:usb1="080E0000" w:usb2="00000000" w:usb3="00000000" w:csb0="00040000" w:csb1="00000000"/>
    <w:embedRegular r:id="rId6" w:fontKey="{26843D43-781D-41F6-B514-330F10D67349}"/>
  </w:font>
  <w:font w:name="FZXBSJW--GB1-0">
    <w:altName w:val="宋体"/>
    <w:panose1 w:val="00000000000000000000"/>
    <w:charset w:val="86"/>
    <w:family w:val="auto"/>
    <w:pitch w:val="default"/>
    <w:sig w:usb0="00000000" w:usb1="00000000" w:usb2="00000010" w:usb3="00000000" w:csb0="00040000" w:csb1="00000000"/>
    <w:embedRegular r:id="rId7" w:fontKey="{58E1D5EF-2031-4EED-A0A7-2E666E746C22}"/>
  </w:font>
  <w:font w:name="楷体_GB2312">
    <w:panose1 w:val="02010609030101010101"/>
    <w:charset w:val="86"/>
    <w:family w:val="modern"/>
    <w:pitch w:val="default"/>
    <w:sig w:usb0="00000001" w:usb1="080E0000" w:usb2="00000000" w:usb3="00000000" w:csb0="00040000" w:csb1="00000000"/>
    <w:embedRegular r:id="rId8" w:fontKey="{58A85B75-20D3-4528-B167-E4A69504BA8E}"/>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hint="eastAsia" w:ascii="宋体" w:hAnsi="宋体" w:eastAsia="仿宋_GB2312" w:cs="宋体"/>
                              <w:kern w:val="2"/>
                              <w:sz w:val="28"/>
                              <w:szCs w:val="28"/>
                              <w:lang w:val="en-US" w:eastAsia="zh-CN" w:bidi="ar-SA"/>
                            </w:rPr>
                            <w:t>─</w:t>
                          </w:r>
                          <w:r>
                            <w:rPr>
                              <w:rFonts w:hint="eastAsia" w:ascii="宋体" w:hAnsi="宋体" w:eastAsia="宋体" w:cs="宋体"/>
                              <w:kern w:val="2"/>
                              <w:sz w:val="28"/>
                              <w:szCs w:val="28"/>
                              <w:lang w:val="en-US" w:eastAsia="zh-CN" w:bidi="ar-SA"/>
                            </w:rPr>
                            <w:fldChar w:fldCharType="begin"/>
                          </w:r>
                          <w:r>
                            <w:rPr>
                              <w:rFonts w:hint="eastAsia" w:ascii="宋体" w:hAnsi="宋体" w:eastAsia="仿宋_GB2312"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ascii="宋体" w:hAnsi="宋体" w:eastAsia="仿宋_GB2312" w:cs="宋体"/>
                              <w:kern w:val="2"/>
                              <w:sz w:val="28"/>
                              <w:szCs w:val="28"/>
                              <w:lang w:val="en-US" w:eastAsia="zh-CN" w:bidi="ar-SA"/>
                            </w:rPr>
                            <w:t>3</w:t>
                          </w:r>
                          <w:r>
                            <w:rPr>
                              <w:rFonts w:hint="eastAsia" w:ascii="宋体" w:hAnsi="宋体" w:eastAsia="宋体" w:cs="宋体"/>
                              <w:kern w:val="2"/>
                              <w:sz w:val="28"/>
                              <w:szCs w:val="28"/>
                              <w:lang w:val="en-US" w:eastAsia="zh-CN" w:bidi="ar-SA"/>
                            </w:rPr>
                            <w:fldChar w:fldCharType="end"/>
                          </w:r>
                          <w:r>
                            <w:rPr>
                              <w:rFonts w:hint="eastAsia" w:ascii="宋体" w:hAnsi="宋体" w:eastAsia="仿宋_GB2312" w:cs="宋体"/>
                              <w:kern w:val="2"/>
                              <w:sz w:val="28"/>
                              <w:szCs w:val="28"/>
                              <w:lang w:val="en-US" w:eastAsia="zh-CN" w:bidi="ar-SA"/>
                            </w:rPr>
                            <w:t>─</w:t>
                          </w:r>
                        </w:p>
                        <w:p>
                          <w:pPr>
                            <w:rPr>
                              <w:rFonts w:ascii="Times New Roman" w:hAnsi="Times New Roman" w:eastAsia="仿宋_GB2312" w:cs="Times New Roman"/>
                              <w:sz w:val="32"/>
                              <w:szCs w:val="22"/>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hint="eastAsia" w:ascii="宋体" w:hAnsi="宋体" w:eastAsia="仿宋_GB2312" w:cs="宋体"/>
                        <w:kern w:val="2"/>
                        <w:sz w:val="28"/>
                        <w:szCs w:val="28"/>
                        <w:lang w:val="en-US" w:eastAsia="zh-CN" w:bidi="ar-SA"/>
                      </w:rPr>
                      <w:t>─</w:t>
                    </w:r>
                    <w:r>
                      <w:rPr>
                        <w:rFonts w:hint="eastAsia" w:ascii="宋体" w:hAnsi="宋体" w:eastAsia="宋体" w:cs="宋体"/>
                        <w:kern w:val="2"/>
                        <w:sz w:val="28"/>
                        <w:szCs w:val="28"/>
                        <w:lang w:val="en-US" w:eastAsia="zh-CN" w:bidi="ar-SA"/>
                      </w:rPr>
                      <w:fldChar w:fldCharType="begin"/>
                    </w:r>
                    <w:r>
                      <w:rPr>
                        <w:rFonts w:hint="eastAsia" w:ascii="宋体" w:hAnsi="宋体" w:eastAsia="仿宋_GB2312"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ascii="宋体" w:hAnsi="宋体" w:eastAsia="仿宋_GB2312" w:cs="宋体"/>
                        <w:kern w:val="2"/>
                        <w:sz w:val="28"/>
                        <w:szCs w:val="28"/>
                        <w:lang w:val="en-US" w:eastAsia="zh-CN" w:bidi="ar-SA"/>
                      </w:rPr>
                      <w:t>3</w:t>
                    </w:r>
                    <w:r>
                      <w:rPr>
                        <w:rFonts w:hint="eastAsia" w:ascii="宋体" w:hAnsi="宋体" w:eastAsia="宋体" w:cs="宋体"/>
                        <w:kern w:val="2"/>
                        <w:sz w:val="28"/>
                        <w:szCs w:val="28"/>
                        <w:lang w:val="en-US" w:eastAsia="zh-CN" w:bidi="ar-SA"/>
                      </w:rPr>
                      <w:fldChar w:fldCharType="end"/>
                    </w:r>
                    <w:r>
                      <w:rPr>
                        <w:rFonts w:hint="eastAsia" w:ascii="宋体" w:hAnsi="宋体" w:eastAsia="仿宋_GB2312" w:cs="宋体"/>
                        <w:kern w:val="2"/>
                        <w:sz w:val="28"/>
                        <w:szCs w:val="28"/>
                        <w:lang w:val="en-US" w:eastAsia="zh-CN" w:bidi="ar-SA"/>
                      </w:rPr>
                      <w:t>─</w:t>
                    </w:r>
                  </w:p>
                  <w:p>
                    <w:pPr>
                      <w:rPr>
                        <w:rFonts w:ascii="Times New Roman" w:hAnsi="Times New Roman" w:eastAsia="仿宋_GB2312" w:cs="Times New Roman"/>
                        <w:sz w:val="32"/>
                        <w:szCs w:val="22"/>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hint="eastAsia" w:ascii="宋体" w:hAnsi="宋体" w:eastAsia="仿宋_GB2312" w:cs="宋体"/>
                              <w:kern w:val="2"/>
                              <w:sz w:val="28"/>
                              <w:szCs w:val="28"/>
                              <w:lang w:val="en-US" w:eastAsia="zh-CN" w:bidi="ar-SA"/>
                            </w:rPr>
                            <w:t>─</w:t>
                          </w:r>
                          <w:r>
                            <w:rPr>
                              <w:rFonts w:hint="eastAsia" w:ascii="宋体" w:hAnsi="宋体" w:eastAsia="宋体" w:cs="宋体"/>
                              <w:kern w:val="2"/>
                              <w:sz w:val="28"/>
                              <w:szCs w:val="28"/>
                              <w:lang w:val="en-US" w:eastAsia="zh-CN" w:bidi="ar-SA"/>
                            </w:rPr>
                            <w:fldChar w:fldCharType="begin"/>
                          </w:r>
                          <w:r>
                            <w:rPr>
                              <w:rFonts w:hint="eastAsia" w:ascii="宋体" w:hAnsi="宋体" w:eastAsia="仿宋_GB2312"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ascii="宋体" w:hAnsi="宋体" w:eastAsia="仿宋_GB2312" w:cs="宋体"/>
                              <w:kern w:val="2"/>
                              <w:sz w:val="28"/>
                              <w:szCs w:val="28"/>
                              <w:lang w:val="en-US" w:eastAsia="zh-CN" w:bidi="ar-SA"/>
                            </w:rPr>
                            <w:t>2</w:t>
                          </w:r>
                          <w:r>
                            <w:rPr>
                              <w:rFonts w:hint="eastAsia" w:ascii="宋体" w:hAnsi="宋体" w:eastAsia="宋体" w:cs="宋体"/>
                              <w:kern w:val="2"/>
                              <w:sz w:val="28"/>
                              <w:szCs w:val="28"/>
                              <w:lang w:val="en-US" w:eastAsia="zh-CN" w:bidi="ar-SA"/>
                            </w:rPr>
                            <w:fldChar w:fldCharType="end"/>
                          </w:r>
                          <w:r>
                            <w:rPr>
                              <w:rFonts w:hint="eastAsia" w:ascii="宋体" w:hAnsi="宋体" w:eastAsia="仿宋_GB2312" w:cs="宋体"/>
                              <w:kern w:val="2"/>
                              <w:sz w:val="28"/>
                              <w:szCs w:val="28"/>
                              <w:lang w:val="en-US" w:eastAsia="zh-CN" w:bidi="ar-SA"/>
                            </w:rPr>
                            <w:t>─</w:t>
                          </w:r>
                        </w:p>
                        <w:p>
                          <w:pPr>
                            <w:rPr>
                              <w:rFonts w:ascii="Times New Roman" w:hAnsi="Times New Roman" w:eastAsia="仿宋_GB2312" w:cs="Times New Roman"/>
                              <w:sz w:val="32"/>
                              <w:szCs w:val="22"/>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hint="eastAsia" w:ascii="宋体" w:hAnsi="宋体" w:eastAsia="仿宋_GB2312" w:cs="宋体"/>
                        <w:kern w:val="2"/>
                        <w:sz w:val="28"/>
                        <w:szCs w:val="28"/>
                        <w:lang w:val="en-US" w:eastAsia="zh-CN" w:bidi="ar-SA"/>
                      </w:rPr>
                      <w:t>─</w:t>
                    </w:r>
                    <w:r>
                      <w:rPr>
                        <w:rFonts w:hint="eastAsia" w:ascii="宋体" w:hAnsi="宋体" w:eastAsia="宋体" w:cs="宋体"/>
                        <w:kern w:val="2"/>
                        <w:sz w:val="28"/>
                        <w:szCs w:val="28"/>
                        <w:lang w:val="en-US" w:eastAsia="zh-CN" w:bidi="ar-SA"/>
                      </w:rPr>
                      <w:fldChar w:fldCharType="begin"/>
                    </w:r>
                    <w:r>
                      <w:rPr>
                        <w:rFonts w:hint="eastAsia" w:ascii="宋体" w:hAnsi="宋体" w:eastAsia="仿宋_GB2312" w:cs="宋体"/>
                        <w:kern w:val="2"/>
                        <w:sz w:val="28"/>
                        <w:szCs w:val="28"/>
                        <w:lang w:val="en-US" w:eastAsia="zh-CN" w:bidi="ar-SA"/>
                      </w:rPr>
                      <w:instrText xml:space="preserve">PAGE  </w:instrText>
                    </w:r>
                    <w:r>
                      <w:rPr>
                        <w:rFonts w:hint="eastAsia" w:ascii="宋体" w:hAnsi="宋体" w:eastAsia="宋体" w:cs="宋体"/>
                        <w:kern w:val="2"/>
                        <w:sz w:val="28"/>
                        <w:szCs w:val="28"/>
                        <w:lang w:val="en-US" w:eastAsia="zh-CN" w:bidi="ar-SA"/>
                      </w:rPr>
                      <w:fldChar w:fldCharType="separate"/>
                    </w:r>
                    <w:r>
                      <w:rPr>
                        <w:rFonts w:ascii="宋体" w:hAnsi="宋体" w:eastAsia="仿宋_GB2312" w:cs="宋体"/>
                        <w:kern w:val="2"/>
                        <w:sz w:val="28"/>
                        <w:szCs w:val="28"/>
                        <w:lang w:val="en-US" w:eastAsia="zh-CN" w:bidi="ar-SA"/>
                      </w:rPr>
                      <w:t>2</w:t>
                    </w:r>
                    <w:r>
                      <w:rPr>
                        <w:rFonts w:hint="eastAsia" w:ascii="宋体" w:hAnsi="宋体" w:eastAsia="宋体" w:cs="宋体"/>
                        <w:kern w:val="2"/>
                        <w:sz w:val="28"/>
                        <w:szCs w:val="28"/>
                        <w:lang w:val="en-US" w:eastAsia="zh-CN" w:bidi="ar-SA"/>
                      </w:rPr>
                      <w:fldChar w:fldCharType="end"/>
                    </w:r>
                    <w:r>
                      <w:rPr>
                        <w:rFonts w:hint="eastAsia" w:ascii="宋体" w:hAnsi="宋体" w:eastAsia="仿宋_GB2312" w:cs="宋体"/>
                        <w:kern w:val="2"/>
                        <w:sz w:val="28"/>
                        <w:szCs w:val="28"/>
                        <w:lang w:val="en-US" w:eastAsia="zh-CN" w:bidi="ar-SA"/>
                      </w:rPr>
                      <w:t>─</w:t>
                    </w:r>
                  </w:p>
                  <w:p>
                    <w:pPr>
                      <w:rPr>
                        <w:rFonts w:ascii="Times New Roman" w:hAnsi="Times New Roman" w:eastAsia="仿宋_GB2312" w:cs="Times New Roman"/>
                        <w:sz w:val="32"/>
                        <w:szCs w:val="22"/>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Calibri" w:hAnsi="Calibri"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9EC19"/>
    <w:multiLevelType w:val="singleLevel"/>
    <w:tmpl w:val="9029EC19"/>
    <w:lvl w:ilvl="0" w:tentative="0">
      <w:start w:val="2"/>
      <w:numFmt w:val="decimal"/>
      <w:suff w:val="nothing"/>
      <w:lvlText w:val="（%1）"/>
      <w:lvlJc w:val="left"/>
    </w:lvl>
  </w:abstractNum>
  <w:abstractNum w:abstractNumId="1">
    <w:nsid w:val="A381DFDF"/>
    <w:multiLevelType w:val="singleLevel"/>
    <w:tmpl w:val="A381DFD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000000"/>
    <w:rsid w:val="01410F36"/>
    <w:rsid w:val="01EB7BB3"/>
    <w:rsid w:val="024845FC"/>
    <w:rsid w:val="02832A46"/>
    <w:rsid w:val="02E84657"/>
    <w:rsid w:val="03315E11"/>
    <w:rsid w:val="036740BE"/>
    <w:rsid w:val="06020B9C"/>
    <w:rsid w:val="07B021B2"/>
    <w:rsid w:val="07C5140B"/>
    <w:rsid w:val="087B5F6E"/>
    <w:rsid w:val="08BE6E88"/>
    <w:rsid w:val="08FA1588"/>
    <w:rsid w:val="09030DFE"/>
    <w:rsid w:val="09A22D7A"/>
    <w:rsid w:val="0A0501E5"/>
    <w:rsid w:val="0B08677B"/>
    <w:rsid w:val="0BF9555A"/>
    <w:rsid w:val="0D4365AB"/>
    <w:rsid w:val="0E1C3D4F"/>
    <w:rsid w:val="0E313231"/>
    <w:rsid w:val="0E7516AA"/>
    <w:rsid w:val="0ED71A24"/>
    <w:rsid w:val="0F2E7C91"/>
    <w:rsid w:val="0FE70717"/>
    <w:rsid w:val="101C0036"/>
    <w:rsid w:val="10B10140"/>
    <w:rsid w:val="111451B1"/>
    <w:rsid w:val="12510F9B"/>
    <w:rsid w:val="12555A81"/>
    <w:rsid w:val="13223BB5"/>
    <w:rsid w:val="136A0D73"/>
    <w:rsid w:val="142851FC"/>
    <w:rsid w:val="14740441"/>
    <w:rsid w:val="147A357D"/>
    <w:rsid w:val="14D64C58"/>
    <w:rsid w:val="14E04740"/>
    <w:rsid w:val="15BD1974"/>
    <w:rsid w:val="16B40FC8"/>
    <w:rsid w:val="17EA27C8"/>
    <w:rsid w:val="18086E88"/>
    <w:rsid w:val="18707171"/>
    <w:rsid w:val="187D53EA"/>
    <w:rsid w:val="1B4820E3"/>
    <w:rsid w:val="1BB45A79"/>
    <w:rsid w:val="1BC25F36"/>
    <w:rsid w:val="1EDE6B2B"/>
    <w:rsid w:val="1F2760B0"/>
    <w:rsid w:val="1F8F5F6F"/>
    <w:rsid w:val="1FBB33C8"/>
    <w:rsid w:val="20425582"/>
    <w:rsid w:val="20D65FDF"/>
    <w:rsid w:val="23B64DD9"/>
    <w:rsid w:val="24B44889"/>
    <w:rsid w:val="24B86773"/>
    <w:rsid w:val="2527212F"/>
    <w:rsid w:val="263C5531"/>
    <w:rsid w:val="27196C26"/>
    <w:rsid w:val="271D6716"/>
    <w:rsid w:val="27892F4A"/>
    <w:rsid w:val="28137B19"/>
    <w:rsid w:val="28431A51"/>
    <w:rsid w:val="2A3F4E4F"/>
    <w:rsid w:val="2A554419"/>
    <w:rsid w:val="2B560448"/>
    <w:rsid w:val="2BA96F2E"/>
    <w:rsid w:val="2BF729D1"/>
    <w:rsid w:val="2CA03BD4"/>
    <w:rsid w:val="2CF47F19"/>
    <w:rsid w:val="2D0E65B0"/>
    <w:rsid w:val="2D8A43D9"/>
    <w:rsid w:val="2DFF1297"/>
    <w:rsid w:val="2E2B0E3B"/>
    <w:rsid w:val="2EA72D69"/>
    <w:rsid w:val="2EE1627B"/>
    <w:rsid w:val="2FFC44A6"/>
    <w:rsid w:val="2FFD5337"/>
    <w:rsid w:val="3019573A"/>
    <w:rsid w:val="30D616E4"/>
    <w:rsid w:val="310426F5"/>
    <w:rsid w:val="342F66B5"/>
    <w:rsid w:val="35107278"/>
    <w:rsid w:val="35553D35"/>
    <w:rsid w:val="360A255B"/>
    <w:rsid w:val="36EA7C97"/>
    <w:rsid w:val="3862042D"/>
    <w:rsid w:val="38710670"/>
    <w:rsid w:val="397B107A"/>
    <w:rsid w:val="39972358"/>
    <w:rsid w:val="39CF2745"/>
    <w:rsid w:val="39FF7EFD"/>
    <w:rsid w:val="3AF92B9E"/>
    <w:rsid w:val="3B2A61EB"/>
    <w:rsid w:val="3B855F74"/>
    <w:rsid w:val="3B9528C7"/>
    <w:rsid w:val="3BF873B9"/>
    <w:rsid w:val="3C4D31A2"/>
    <w:rsid w:val="3D4C5207"/>
    <w:rsid w:val="3D6440B8"/>
    <w:rsid w:val="3DA70690"/>
    <w:rsid w:val="3E574F0E"/>
    <w:rsid w:val="3F595784"/>
    <w:rsid w:val="3FED2314"/>
    <w:rsid w:val="40E165AE"/>
    <w:rsid w:val="442A3DC9"/>
    <w:rsid w:val="479C269D"/>
    <w:rsid w:val="47CD33E9"/>
    <w:rsid w:val="47F71E45"/>
    <w:rsid w:val="481E59F2"/>
    <w:rsid w:val="48C905D8"/>
    <w:rsid w:val="4AFA2747"/>
    <w:rsid w:val="4AFC64BF"/>
    <w:rsid w:val="4B482CBB"/>
    <w:rsid w:val="4C7065F5"/>
    <w:rsid w:val="4C742085"/>
    <w:rsid w:val="4CC82235"/>
    <w:rsid w:val="4CD82614"/>
    <w:rsid w:val="4CDD40CE"/>
    <w:rsid w:val="4CF47305"/>
    <w:rsid w:val="4E173610"/>
    <w:rsid w:val="4E7E138F"/>
    <w:rsid w:val="4EB96475"/>
    <w:rsid w:val="4ED736E4"/>
    <w:rsid w:val="4F8545A9"/>
    <w:rsid w:val="4FCC0DA4"/>
    <w:rsid w:val="505E5526"/>
    <w:rsid w:val="512C5624"/>
    <w:rsid w:val="51AC22C1"/>
    <w:rsid w:val="5333051D"/>
    <w:rsid w:val="552D20B3"/>
    <w:rsid w:val="55674E7D"/>
    <w:rsid w:val="55817742"/>
    <w:rsid w:val="56AC1282"/>
    <w:rsid w:val="57FA6696"/>
    <w:rsid w:val="58985D02"/>
    <w:rsid w:val="59077F31"/>
    <w:rsid w:val="59097FF9"/>
    <w:rsid w:val="5941153B"/>
    <w:rsid w:val="5A096502"/>
    <w:rsid w:val="5AB808EB"/>
    <w:rsid w:val="5B23320E"/>
    <w:rsid w:val="5CE13C75"/>
    <w:rsid w:val="5D573A29"/>
    <w:rsid w:val="5DDB2B96"/>
    <w:rsid w:val="5EA507C4"/>
    <w:rsid w:val="5EC71338"/>
    <w:rsid w:val="5EDC0CE4"/>
    <w:rsid w:val="5EF07037"/>
    <w:rsid w:val="5F864E16"/>
    <w:rsid w:val="60172FFB"/>
    <w:rsid w:val="60792A09"/>
    <w:rsid w:val="60FF240D"/>
    <w:rsid w:val="62234B4B"/>
    <w:rsid w:val="65CC6636"/>
    <w:rsid w:val="66140709"/>
    <w:rsid w:val="666A58D0"/>
    <w:rsid w:val="66ED4AB6"/>
    <w:rsid w:val="67D22629"/>
    <w:rsid w:val="68182006"/>
    <w:rsid w:val="68A94C1E"/>
    <w:rsid w:val="69450BD9"/>
    <w:rsid w:val="6AE04DCB"/>
    <w:rsid w:val="6B1B42CF"/>
    <w:rsid w:val="6B2A0087"/>
    <w:rsid w:val="6BFA23B8"/>
    <w:rsid w:val="6C4D6722"/>
    <w:rsid w:val="6CBB6095"/>
    <w:rsid w:val="6D2F407A"/>
    <w:rsid w:val="6DCE5F01"/>
    <w:rsid w:val="6DE50BDD"/>
    <w:rsid w:val="710B2708"/>
    <w:rsid w:val="71DE7E1D"/>
    <w:rsid w:val="733C1895"/>
    <w:rsid w:val="73966C01"/>
    <w:rsid w:val="746F2FAE"/>
    <w:rsid w:val="747E250F"/>
    <w:rsid w:val="75AD1FE0"/>
    <w:rsid w:val="7651022E"/>
    <w:rsid w:val="76C75323"/>
    <w:rsid w:val="76E618C8"/>
    <w:rsid w:val="76FF46BA"/>
    <w:rsid w:val="799C2A97"/>
    <w:rsid w:val="79E24222"/>
    <w:rsid w:val="7A7546FF"/>
    <w:rsid w:val="7A79735D"/>
    <w:rsid w:val="7BC41E31"/>
    <w:rsid w:val="7C6E7B6B"/>
    <w:rsid w:val="7E812A19"/>
    <w:rsid w:val="7EF608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next w:val="1"/>
    <w:autoRedefine/>
    <w:qFormat/>
    <w:uiPriority w:val="0"/>
    <w:pPr>
      <w:ind w:firstLine="420" w:firstLineChars="200"/>
    </w:pPr>
    <w:rPr>
      <w:rFonts w:eastAsia="仿宋"/>
      <w:sz w:val="32"/>
    </w:rPr>
  </w:style>
  <w:style w:type="paragraph" w:styleId="3">
    <w:name w:val="Body Text"/>
    <w:basedOn w:val="1"/>
    <w:autoRedefine/>
    <w:qFormat/>
    <w:uiPriority w:val="0"/>
    <w:rPr>
      <w:rFonts w:ascii="仿宋_GB2312" w:hAnsi="仿宋_GB2312" w:eastAsia="仿宋_GB2312" w:cs="仿宋_GB2312"/>
      <w:sz w:val="32"/>
      <w:szCs w:val="32"/>
    </w:rPr>
  </w:style>
  <w:style w:type="paragraph" w:styleId="4">
    <w:name w:val="Body Text Indent"/>
    <w:basedOn w:val="1"/>
    <w:next w:val="2"/>
    <w:autoRedefine/>
    <w:qFormat/>
    <w:uiPriority w:val="0"/>
    <w:pPr>
      <w:ind w:firstLine="640" w:firstLineChars="200"/>
    </w:pPr>
    <w:rPr>
      <w:snapToGrid w:val="0"/>
      <w:kern w:val="0"/>
    </w:rPr>
  </w:style>
  <w:style w:type="paragraph" w:styleId="5">
    <w:name w:val="Body Text Indent 2"/>
    <w:basedOn w:val="1"/>
    <w:autoRedefine/>
    <w:qFormat/>
    <w:uiPriority w:val="0"/>
    <w:pPr>
      <w:spacing w:after="120" w:afterLines="0" w:afterAutospacing="0" w:line="480" w:lineRule="auto"/>
      <w:ind w:left="420" w:leftChars="200"/>
    </w:pPr>
  </w:style>
  <w:style w:type="paragraph" w:styleId="6">
    <w:name w:val="footer"/>
    <w:basedOn w:val="1"/>
    <w:autoRedefine/>
    <w:qFormat/>
    <w:uiPriority w:val="0"/>
    <w:pPr>
      <w:tabs>
        <w:tab w:val="center" w:pos="4153"/>
        <w:tab w:val="right" w:pos="8306"/>
      </w:tabs>
      <w:snapToGrid w:val="0"/>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styleId="9">
    <w:name w:val="Body Text First Indent 2"/>
    <w:basedOn w:val="4"/>
    <w:next w:val="1"/>
    <w:autoRedefine/>
    <w:qFormat/>
    <w:uiPriority w:val="0"/>
    <w:pPr>
      <w:ind w:firstLine="420"/>
    </w:pPr>
    <w:rPr>
      <w:rFonts w:ascii="Calibri" w:hAnsi="Calibri"/>
      <w:sz w:val="28"/>
    </w:rPr>
  </w:style>
  <w:style w:type="character" w:styleId="12">
    <w:name w:val="Strong"/>
    <w:basedOn w:val="11"/>
    <w:autoRedefine/>
    <w:qFormat/>
    <w:uiPriority w:val="22"/>
    <w:rPr>
      <w:b/>
      <w:bCs/>
    </w:rPr>
  </w:style>
  <w:style w:type="paragraph" w:customStyle="1" w:styleId="13">
    <w:name w:val="普通(网站)1"/>
    <w:basedOn w:val="1"/>
    <w:autoRedefine/>
    <w:qFormat/>
    <w:uiPriority w:val="0"/>
    <w:pPr>
      <w:spacing w:before="100" w:beforeAutospacing="1" w:after="100" w:afterAutospacing="1"/>
    </w:pPr>
    <w:rPr>
      <w:sz w:val="24"/>
      <w:lang w:val="en-US"/>
    </w:rPr>
  </w:style>
  <w:style w:type="character" w:customStyle="1" w:styleId="14">
    <w:name w:val="NormalCharacter"/>
    <w:autoRedefine/>
    <w:qFormat/>
    <w:uiPriority w:val="0"/>
    <w:rPr>
      <w:rFonts w:ascii="Calibri" w:hAnsi="Calibri" w:eastAsia="宋体" w:cs="Times New Roman"/>
      <w:kern w:val="2"/>
      <w:sz w:val="21"/>
      <w:szCs w:val="22"/>
      <w:lang w:val="en-US" w:eastAsia="zh-CN" w:bidi="ar-SA"/>
    </w:rPr>
  </w:style>
  <w:style w:type="paragraph" w:customStyle="1" w:styleId="15">
    <w:name w:val="正文首行缩进 21"/>
    <w:autoRedefine/>
    <w:qFormat/>
    <w:uiPriority w:val="0"/>
    <w:pPr>
      <w:widowControl w:val="0"/>
      <w:ind w:left="420" w:leftChars="200" w:firstLine="420" w:firstLineChars="200"/>
      <w:jc w:val="both"/>
    </w:pPr>
    <w:rPr>
      <w:rFonts w:ascii="Times New Roman" w:hAnsi="Times New Roman" w:eastAsia="仿宋_GB2312" w:cs="Times New Roman"/>
      <w:kern w:val="2"/>
      <w:sz w:val="30"/>
      <w:szCs w:val="30"/>
      <w:lang w:val="en-US" w:eastAsia="zh-CN" w:bidi="ar-SA"/>
    </w:rPr>
  </w:style>
  <w:style w:type="paragraph" w:customStyle="1" w:styleId="16">
    <w:name w:val="纯文本1"/>
    <w:basedOn w:val="1"/>
    <w:autoRedefine/>
    <w:qFormat/>
    <w:uiPriority w:val="0"/>
    <w:pPr>
      <w:jc w:val="both"/>
    </w:pPr>
    <w:rPr>
      <w:rFonts w:hAnsi="Courier New" w:cs="Courier New"/>
      <w:kern w:val="2"/>
      <w:sz w:val="21"/>
      <w:szCs w:val="21"/>
      <w:lang w:val="en-US" w:bidi="ar-SA"/>
    </w:rPr>
  </w:style>
  <w:style w:type="paragraph" w:customStyle="1" w:styleId="17">
    <w:name w:val="Body Text First Indent"/>
    <w:basedOn w:val="3"/>
    <w:autoRedefine/>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8">
    <w:name w:val="Body Text First Indent 2"/>
    <w:basedOn w:val="19"/>
    <w:autoRedefine/>
    <w:qFormat/>
    <w:uiPriority w:val="0"/>
    <w:pPr>
      <w:ind w:firstLine="210"/>
    </w:pPr>
  </w:style>
  <w:style w:type="paragraph" w:customStyle="1" w:styleId="19">
    <w:name w:val="Body Text Indent"/>
    <w:basedOn w:val="1"/>
    <w:autoRedefine/>
    <w:qFormat/>
    <w:uiPriority w:val="0"/>
    <w:pPr>
      <w:spacing w:line="400" w:lineRule="exact"/>
      <w:ind w:firstLine="560" w:firstLineChars="200"/>
    </w:pPr>
    <w:rPr>
      <w:sz w:val="28"/>
    </w:rPr>
  </w:style>
  <w:style w:type="paragraph" w:customStyle="1" w:styleId="20">
    <w:name w:val="列出段落1"/>
    <w:basedOn w:val="1"/>
    <w:autoRedefine/>
    <w:qFormat/>
    <w:uiPriority w:val="34"/>
    <w:pPr>
      <w:ind w:firstLine="420" w:firstLineChars="200"/>
    </w:pPr>
  </w:style>
  <w:style w:type="character" w:customStyle="1" w:styleId="21">
    <w:name w:val="jqvar"/>
    <w:basedOn w:val="1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5727</Words>
  <Characters>6265</Characters>
  <Lines>0</Lines>
  <Paragraphs>0</Paragraphs>
  <TotalTime>30</TotalTime>
  <ScaleCrop>false</ScaleCrop>
  <LinksUpToDate>false</LinksUpToDate>
  <CharactersWithSpaces>6397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徐斯佳</cp:lastModifiedBy>
  <cp:lastPrinted>2024-04-29T08:47:00Z</cp:lastPrinted>
  <dcterms:modified xsi:type="dcterms:W3CDTF">2026-04-30T08:12:02Z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F98E2804B813487D85483D59ECA817BF_13</vt:lpwstr>
  </property>
  <property fmtid="{D5CDD505-2E9C-101B-9397-08002B2CF9AE}" pid="4" name="KSOTemplateDocerSaveRecord">
    <vt:lpwstr>eyJoZGlkIjoiMzEwNTM5NzYwMDRjMzkwZTVkZjY2ODkwMGIxNGU0OTUiLCJ1c2VySWQiOiI0ODU4MzY1NjIifQ==</vt:lpwstr>
  </property>
</Properties>
</file>