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baseline"/>
        <w:outlineLvl w:val="0"/>
        <w:rPr>
          <w:rFonts w:ascii="黑体" w:hAnsi="黑体" w:eastAsia="黑体" w:cs="黑体"/>
          <w:spacing w:val="0"/>
          <w:w w:val="100"/>
          <w:position w:val="0"/>
          <w:sz w:val="32"/>
          <w:szCs w:val="32"/>
        </w:rPr>
      </w:pPr>
      <w:r>
        <w:rPr>
          <w:rFonts w:hint="eastAsia" w:ascii="黑体" w:hAnsi="黑体" w:eastAsia="黑体" w:cs="黑体"/>
          <w:spacing w:val="0"/>
          <w:w w:val="100"/>
          <w:position w:val="0"/>
          <w:sz w:val="32"/>
          <w:szCs w:val="32"/>
          <w:lang w:val="en-US" w:eastAsia="zh-CN"/>
        </w:rPr>
        <w:t>东湖区董家窑街道办事处2024</w:t>
      </w:r>
      <w:r>
        <w:rPr>
          <w:rFonts w:ascii="黑体" w:hAnsi="黑体" w:eastAsia="黑体" w:cs="黑体"/>
          <w:spacing w:val="0"/>
          <w:w w:val="100"/>
          <w:position w:val="0"/>
          <w:sz w:val="32"/>
          <w:szCs w:val="32"/>
        </w:rPr>
        <w:t>年单位预算</w:t>
      </w:r>
    </w:p>
    <w:p>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ascii="Arial"/>
          <w:spacing w:val="0"/>
          <w:w w:val="100"/>
          <w:position w:val="0"/>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ascii="Arial"/>
          <w:spacing w:val="0"/>
          <w:w w:val="100"/>
          <w:position w:val="0"/>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left="3580"/>
        <w:textAlignment w:val="baseline"/>
        <w:rPr>
          <w:rFonts w:ascii="黑体" w:hAnsi="黑体" w:eastAsia="黑体" w:cs="黑体"/>
          <w:spacing w:val="0"/>
          <w:w w:val="100"/>
          <w:position w:val="0"/>
          <w:sz w:val="32"/>
          <w:szCs w:val="32"/>
        </w:rPr>
      </w:pPr>
      <w:r>
        <w:rPr>
          <w:rFonts w:ascii="黑体" w:hAnsi="黑体" w:eastAsia="黑体" w:cs="黑体"/>
          <w:spacing w:val="0"/>
          <w:w w:val="100"/>
          <w:position w:val="0"/>
          <w:sz w:val="32"/>
          <w:szCs w:val="32"/>
        </w:rPr>
        <w:t>目    录</w:t>
      </w:r>
    </w:p>
    <w:p>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ascii="Arial"/>
          <w:spacing w:val="0"/>
          <w:w w:val="100"/>
          <w:position w:val="0"/>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40" w:lineRule="exact"/>
        <w:ind w:left="683"/>
        <w:textAlignment w:val="baseline"/>
        <w:rPr>
          <w:spacing w:val="0"/>
          <w:w w:val="100"/>
          <w:position w:val="0"/>
          <w:sz w:val="32"/>
          <w:szCs w:val="32"/>
        </w:rPr>
      </w:pPr>
      <w:r>
        <w:rPr>
          <w:spacing w:val="0"/>
          <w:w w:val="100"/>
          <w:position w:val="0"/>
          <w:sz w:val="32"/>
          <w:szCs w:val="32"/>
        </w:rPr>
        <w:t xml:space="preserve">第一部分  </w:t>
      </w:r>
      <w:r>
        <w:rPr>
          <w:rFonts w:hint="eastAsia" w:ascii="仿宋_GB2312" w:hAnsi="仿宋_GB2312" w:eastAsia="仿宋_GB2312" w:cs="仿宋_GB2312"/>
          <w:spacing w:val="0"/>
          <w:w w:val="100"/>
          <w:position w:val="0"/>
          <w:sz w:val="32"/>
          <w:szCs w:val="32"/>
          <w:lang w:val="en-US" w:eastAsia="zh-CN"/>
        </w:rPr>
        <w:t>东湖区董家窑街道办事处</w:t>
      </w:r>
      <w:r>
        <w:rPr>
          <w:spacing w:val="0"/>
          <w:w w:val="100"/>
          <w:position w:val="0"/>
          <w:sz w:val="32"/>
          <w:szCs w:val="32"/>
        </w:rPr>
        <w:t>概况</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25"/>
        <w:textAlignment w:val="baseline"/>
        <w:rPr>
          <w:spacing w:val="0"/>
          <w:w w:val="100"/>
          <w:position w:val="0"/>
          <w:sz w:val="32"/>
          <w:szCs w:val="32"/>
        </w:rPr>
      </w:pPr>
      <w:r>
        <w:rPr>
          <w:spacing w:val="0"/>
          <w:w w:val="100"/>
          <w:position w:val="0"/>
          <w:sz w:val="32"/>
          <w:szCs w:val="32"/>
        </w:rPr>
        <w:t>一、单位主要职责</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23"/>
        <w:textAlignment w:val="baseline"/>
        <w:rPr>
          <w:spacing w:val="0"/>
          <w:w w:val="100"/>
          <w:position w:val="0"/>
          <w:sz w:val="32"/>
          <w:szCs w:val="32"/>
        </w:rPr>
      </w:pPr>
      <w:r>
        <w:rPr>
          <w:spacing w:val="0"/>
          <w:w w:val="100"/>
          <w:position w:val="0"/>
          <w:sz w:val="32"/>
          <w:szCs w:val="32"/>
        </w:rPr>
        <w:t>二、机构设置及人员情况</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2283" w:leftChars="325" w:hanging="1600" w:hangingChars="500"/>
        <w:jc w:val="left"/>
        <w:textAlignment w:val="baseline"/>
        <w:rPr>
          <w:spacing w:val="0"/>
          <w:w w:val="100"/>
          <w:position w:val="0"/>
          <w:sz w:val="32"/>
          <w:szCs w:val="32"/>
        </w:rPr>
      </w:pPr>
      <w:r>
        <w:rPr>
          <w:spacing w:val="0"/>
          <w:w w:val="100"/>
          <w:position w:val="0"/>
          <w:sz w:val="32"/>
          <w:szCs w:val="32"/>
        </w:rPr>
        <w:t xml:space="preserve">第二部分  </w:t>
      </w:r>
      <w:r>
        <w:rPr>
          <w:rFonts w:hint="eastAsia" w:ascii="仿宋_GB2312" w:hAnsi="仿宋_GB2312" w:eastAsia="仿宋_GB2312" w:cs="仿宋_GB2312"/>
          <w:spacing w:val="0"/>
          <w:w w:val="100"/>
          <w:position w:val="0"/>
          <w:sz w:val="32"/>
          <w:szCs w:val="32"/>
          <w:lang w:val="en-US" w:eastAsia="zh-CN"/>
        </w:rPr>
        <w:t>东湖区董家窑街道办事处</w:t>
      </w:r>
      <w:r>
        <w:rPr>
          <w:rFonts w:hint="eastAsia"/>
          <w:spacing w:val="0"/>
          <w:w w:val="100"/>
          <w:position w:val="0"/>
          <w:sz w:val="32"/>
          <w:szCs w:val="32"/>
          <w:lang w:val="en-US" w:eastAsia="zh-CN"/>
        </w:rPr>
        <w:t>2024</w:t>
      </w:r>
      <w:r>
        <w:rPr>
          <w:spacing w:val="0"/>
          <w:w w:val="100"/>
          <w:position w:val="0"/>
          <w:sz w:val="32"/>
          <w:szCs w:val="32"/>
        </w:rPr>
        <w:t>年</w:t>
      </w:r>
    </w:p>
    <w:p>
      <w:pPr>
        <w:pStyle w:val="5"/>
        <w:keepNext w:val="0"/>
        <w:keepLines w:val="0"/>
        <w:pageBreakBefore w:val="0"/>
        <w:widowControl w:val="0"/>
        <w:kinsoku/>
        <w:wordWrap/>
        <w:overflowPunct/>
        <w:topLinePunct w:val="0"/>
        <w:autoSpaceDE/>
        <w:autoSpaceDN/>
        <w:bidi w:val="0"/>
        <w:adjustRightInd w:val="0"/>
        <w:snapToGrid w:val="0"/>
        <w:spacing w:line="540" w:lineRule="exact"/>
        <w:ind w:firstLine="2240" w:firstLineChars="700"/>
        <w:jc w:val="left"/>
        <w:textAlignment w:val="baseline"/>
        <w:rPr>
          <w:spacing w:val="0"/>
          <w:w w:val="100"/>
          <w:position w:val="0"/>
          <w:sz w:val="32"/>
          <w:szCs w:val="32"/>
        </w:rPr>
      </w:pPr>
      <w:r>
        <w:rPr>
          <w:spacing w:val="0"/>
          <w:w w:val="100"/>
          <w:position w:val="0"/>
          <w:sz w:val="32"/>
          <w:szCs w:val="32"/>
        </w:rPr>
        <w:t>单位预算表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25"/>
        <w:textAlignment w:val="baseline"/>
        <w:rPr>
          <w:spacing w:val="0"/>
          <w:w w:val="100"/>
          <w:position w:val="0"/>
          <w:sz w:val="32"/>
          <w:szCs w:val="32"/>
        </w:rPr>
      </w:pPr>
      <w:r>
        <w:rPr>
          <w:spacing w:val="0"/>
          <w:w w:val="100"/>
          <w:position w:val="0"/>
          <w:sz w:val="32"/>
          <w:szCs w:val="32"/>
        </w:rPr>
        <w:t>一、《收支预算总表》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23"/>
        <w:textAlignment w:val="baseline"/>
        <w:rPr>
          <w:spacing w:val="0"/>
          <w:w w:val="100"/>
          <w:position w:val="0"/>
          <w:sz w:val="32"/>
          <w:szCs w:val="32"/>
        </w:rPr>
      </w:pPr>
      <w:r>
        <w:rPr>
          <w:spacing w:val="0"/>
          <w:w w:val="100"/>
          <w:position w:val="0"/>
          <w:sz w:val="32"/>
          <w:szCs w:val="32"/>
        </w:rPr>
        <w:t>二、《单位收入总表》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29"/>
        <w:textAlignment w:val="baseline"/>
        <w:rPr>
          <w:spacing w:val="0"/>
          <w:w w:val="100"/>
          <w:position w:val="0"/>
          <w:sz w:val="32"/>
          <w:szCs w:val="32"/>
        </w:rPr>
      </w:pPr>
      <w:r>
        <w:rPr>
          <w:spacing w:val="0"/>
          <w:w w:val="100"/>
          <w:position w:val="0"/>
          <w:sz w:val="32"/>
          <w:szCs w:val="32"/>
        </w:rPr>
        <w:t>三、《单位支出总表》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43"/>
        <w:textAlignment w:val="baseline"/>
        <w:rPr>
          <w:spacing w:val="0"/>
          <w:w w:val="100"/>
          <w:position w:val="0"/>
          <w:sz w:val="32"/>
          <w:szCs w:val="32"/>
        </w:rPr>
      </w:pPr>
      <w:r>
        <w:rPr>
          <w:spacing w:val="0"/>
          <w:w w:val="100"/>
          <w:position w:val="0"/>
          <w:sz w:val="32"/>
          <w:szCs w:val="32"/>
        </w:rPr>
        <w:t>四、《财政拨款收支总表》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16"/>
        <w:textAlignment w:val="baseline"/>
        <w:rPr>
          <w:spacing w:val="0"/>
          <w:w w:val="100"/>
          <w:position w:val="0"/>
          <w:sz w:val="32"/>
          <w:szCs w:val="32"/>
        </w:rPr>
      </w:pPr>
      <w:r>
        <w:rPr>
          <w:spacing w:val="0"/>
          <w:w w:val="100"/>
          <w:position w:val="0"/>
          <w:sz w:val="32"/>
          <w:szCs w:val="32"/>
        </w:rPr>
        <w:t>五、《一般公共预算支出表》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19"/>
        <w:textAlignment w:val="baseline"/>
        <w:rPr>
          <w:spacing w:val="0"/>
          <w:w w:val="100"/>
          <w:position w:val="0"/>
          <w:sz w:val="32"/>
          <w:szCs w:val="32"/>
        </w:rPr>
      </w:pPr>
      <w:r>
        <w:rPr>
          <w:spacing w:val="0"/>
          <w:w w:val="100"/>
          <w:position w:val="0"/>
          <w:sz w:val="32"/>
          <w:szCs w:val="32"/>
        </w:rPr>
        <w:t>六、《一般公共预算基本支出表》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13"/>
        <w:textAlignment w:val="baseline"/>
        <w:rPr>
          <w:spacing w:val="0"/>
          <w:w w:val="100"/>
          <w:position w:val="0"/>
          <w:sz w:val="32"/>
          <w:szCs w:val="32"/>
        </w:rPr>
      </w:pPr>
      <w:r>
        <w:rPr>
          <w:spacing w:val="0"/>
          <w:w w:val="100"/>
          <w:position w:val="0"/>
          <w:sz w:val="32"/>
          <w:szCs w:val="32"/>
        </w:rPr>
        <w:t>七、《财政拨款“三公”经费支出表》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12"/>
        <w:textAlignment w:val="baseline"/>
        <w:rPr>
          <w:spacing w:val="0"/>
          <w:w w:val="100"/>
          <w:position w:val="0"/>
          <w:sz w:val="32"/>
          <w:szCs w:val="32"/>
        </w:rPr>
      </w:pPr>
      <w:r>
        <w:rPr>
          <w:spacing w:val="0"/>
          <w:w w:val="100"/>
          <w:position w:val="0"/>
          <w:sz w:val="32"/>
          <w:szCs w:val="32"/>
        </w:rPr>
        <w:t>八、《政府性基金预算支出表》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09"/>
        <w:textAlignment w:val="baseline"/>
        <w:rPr>
          <w:spacing w:val="0"/>
          <w:w w:val="100"/>
          <w:position w:val="0"/>
          <w:sz w:val="32"/>
          <w:szCs w:val="32"/>
        </w:rPr>
      </w:pPr>
      <w:r>
        <w:rPr>
          <w:spacing w:val="0"/>
          <w:w w:val="100"/>
          <w:position w:val="0"/>
          <w:sz w:val="32"/>
          <w:szCs w:val="32"/>
        </w:rPr>
        <w:t>九、《国有资本经营预算支出表》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19"/>
        <w:textAlignment w:val="baseline"/>
        <w:rPr>
          <w:spacing w:val="0"/>
          <w:w w:val="100"/>
          <w:position w:val="0"/>
          <w:sz w:val="32"/>
          <w:szCs w:val="32"/>
        </w:rPr>
      </w:pPr>
      <w:r>
        <w:rPr>
          <w:spacing w:val="0"/>
          <w:w w:val="100"/>
          <w:position w:val="0"/>
          <w:sz w:val="32"/>
          <w:szCs w:val="32"/>
        </w:rPr>
        <w:t>十、《项目绩效目标表》</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2283" w:leftChars="325" w:hanging="1600" w:hangingChars="500"/>
        <w:textAlignment w:val="baseline"/>
        <w:rPr>
          <w:spacing w:val="0"/>
          <w:w w:val="100"/>
          <w:position w:val="0"/>
          <w:sz w:val="32"/>
          <w:szCs w:val="32"/>
        </w:rPr>
      </w:pPr>
      <w:r>
        <w:rPr>
          <w:spacing w:val="0"/>
          <w:w w:val="100"/>
          <w:position w:val="0"/>
          <w:sz w:val="32"/>
          <w:szCs w:val="32"/>
        </w:rPr>
        <w:t>第三部分</w:t>
      </w:r>
      <w:r>
        <w:rPr>
          <w:rFonts w:hint="eastAsia"/>
          <w:spacing w:val="0"/>
          <w:w w:val="100"/>
          <w:position w:val="0"/>
          <w:sz w:val="32"/>
          <w:szCs w:val="32"/>
          <w:lang w:val="en-US" w:eastAsia="zh-CN"/>
        </w:rPr>
        <w:t xml:space="preserve"> </w:t>
      </w:r>
      <w:r>
        <w:rPr>
          <w:spacing w:val="0"/>
          <w:w w:val="100"/>
          <w:position w:val="0"/>
          <w:sz w:val="32"/>
          <w:szCs w:val="32"/>
        </w:rPr>
        <w:t xml:space="preserve"> </w:t>
      </w:r>
      <w:r>
        <w:rPr>
          <w:rFonts w:hint="eastAsia" w:ascii="仿宋_GB2312" w:hAnsi="仿宋_GB2312" w:eastAsia="仿宋_GB2312" w:cs="仿宋_GB2312"/>
          <w:spacing w:val="0"/>
          <w:w w:val="100"/>
          <w:position w:val="0"/>
          <w:sz w:val="32"/>
          <w:szCs w:val="32"/>
          <w:lang w:val="en-US" w:eastAsia="zh-CN"/>
        </w:rPr>
        <w:t>东湖区董家窑街道办事处</w:t>
      </w:r>
      <w:r>
        <w:rPr>
          <w:rFonts w:hint="eastAsia"/>
          <w:spacing w:val="0"/>
          <w:w w:val="100"/>
          <w:position w:val="0"/>
          <w:sz w:val="32"/>
          <w:szCs w:val="32"/>
          <w:lang w:val="en-US" w:eastAsia="zh-CN"/>
        </w:rPr>
        <w:t>2024</w:t>
      </w:r>
      <w:r>
        <w:rPr>
          <w:spacing w:val="0"/>
          <w:w w:val="100"/>
          <w:position w:val="0"/>
          <w:sz w:val="32"/>
          <w:szCs w:val="32"/>
        </w:rPr>
        <w:t>年</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2278" w:leftChars="1085" w:firstLine="0" w:firstLineChars="0"/>
        <w:textAlignment w:val="baseline"/>
        <w:rPr>
          <w:spacing w:val="0"/>
          <w:w w:val="100"/>
          <w:position w:val="0"/>
          <w:sz w:val="32"/>
          <w:szCs w:val="32"/>
        </w:rPr>
      </w:pPr>
      <w:r>
        <w:rPr>
          <w:spacing w:val="0"/>
          <w:w w:val="100"/>
          <w:position w:val="0"/>
          <w:sz w:val="32"/>
          <w:szCs w:val="32"/>
        </w:rPr>
        <w:t>单位预算情况说明</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25"/>
        <w:textAlignment w:val="baseline"/>
        <w:rPr>
          <w:spacing w:val="0"/>
          <w:w w:val="100"/>
          <w:position w:val="0"/>
          <w:sz w:val="32"/>
          <w:szCs w:val="32"/>
        </w:rPr>
      </w:pPr>
      <w:r>
        <w:rPr>
          <w:spacing w:val="0"/>
          <w:w w:val="100"/>
          <w:position w:val="0"/>
          <w:sz w:val="32"/>
          <w:szCs w:val="32"/>
        </w:rPr>
        <w:t>一、</w:t>
      </w:r>
      <w:r>
        <w:rPr>
          <w:rFonts w:hint="eastAsia"/>
          <w:spacing w:val="0"/>
          <w:w w:val="100"/>
          <w:position w:val="0"/>
          <w:sz w:val="32"/>
          <w:szCs w:val="32"/>
          <w:lang w:val="en-US" w:eastAsia="zh-CN"/>
        </w:rPr>
        <w:t>2024</w:t>
      </w:r>
      <w:r>
        <w:rPr>
          <w:spacing w:val="0"/>
          <w:w w:val="100"/>
          <w:position w:val="0"/>
          <w:sz w:val="32"/>
          <w:szCs w:val="32"/>
        </w:rPr>
        <w:t>年单位预算收支情况说明</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1323"/>
        <w:textAlignment w:val="baseline"/>
        <w:rPr>
          <w:spacing w:val="0"/>
          <w:w w:val="100"/>
          <w:position w:val="0"/>
          <w:sz w:val="32"/>
          <w:szCs w:val="32"/>
        </w:rPr>
      </w:pPr>
      <w:r>
        <w:rPr>
          <w:spacing w:val="0"/>
          <w:w w:val="100"/>
          <w:position w:val="0"/>
          <w:sz w:val="32"/>
          <w:szCs w:val="32"/>
        </w:rPr>
        <w:t>二、</w:t>
      </w:r>
      <w:r>
        <w:rPr>
          <w:rFonts w:hint="eastAsia"/>
          <w:spacing w:val="0"/>
          <w:w w:val="100"/>
          <w:position w:val="0"/>
          <w:sz w:val="32"/>
          <w:szCs w:val="32"/>
          <w:lang w:val="en-US" w:eastAsia="zh-CN"/>
        </w:rPr>
        <w:t>2024</w:t>
      </w:r>
      <w:r>
        <w:rPr>
          <w:spacing w:val="0"/>
          <w:w w:val="100"/>
          <w:position w:val="0"/>
          <w:sz w:val="32"/>
          <w:szCs w:val="32"/>
        </w:rPr>
        <w:t>年“三公”经费预算情况说明</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683"/>
        <w:textAlignment w:val="baseline"/>
        <w:rPr>
          <w:spacing w:val="0"/>
          <w:w w:val="100"/>
          <w:position w:val="0"/>
          <w:sz w:val="32"/>
          <w:szCs w:val="32"/>
        </w:rPr>
      </w:pPr>
      <w:r>
        <w:rPr>
          <w:spacing w:val="0"/>
          <w:w w:val="100"/>
          <w:position w:val="0"/>
          <w:sz w:val="32"/>
          <w:szCs w:val="32"/>
        </w:rPr>
        <w:t>第四部分  名词解释</w:t>
      </w:r>
    </w:p>
    <w:p>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spacing w:val="0"/>
          <w:w w:val="100"/>
          <w:position w:val="0"/>
          <w:sz w:val="32"/>
          <w:szCs w:val="32"/>
        </w:rPr>
        <w:sectPr>
          <w:pgSz w:w="11905" w:h="16838"/>
          <w:pgMar w:top="1701" w:right="1757" w:bottom="1701" w:left="1757" w:header="0" w:footer="0" w:gutter="0"/>
          <w:cols w:space="720" w:num="1"/>
          <w:rtlGutter w:val="0"/>
          <w:docGrid w:linePitch="0" w:charSpace="0"/>
        </w:sectPr>
      </w:pPr>
    </w:p>
    <w:p>
      <w:pPr>
        <w:pStyle w:val="2"/>
        <w:numPr>
          <w:ilvl w:val="0"/>
          <w:numId w:val="1"/>
        </w:numPr>
        <w:bidi w:val="0"/>
      </w:pPr>
      <w:r>
        <w:t xml:space="preserve"> </w:t>
      </w:r>
      <w:r>
        <w:rPr>
          <w:rFonts w:hint="eastAsia" w:cs="宋体"/>
          <w:lang w:val="en-US" w:eastAsia="zh-CN"/>
        </w:rPr>
        <w:t>东湖区董家窑街道办事处</w:t>
      </w:r>
    </w:p>
    <w:p>
      <w:pPr>
        <w:pStyle w:val="2"/>
        <w:numPr>
          <w:ilvl w:val="0"/>
          <w:numId w:val="0"/>
        </w:numPr>
        <w:bidi w:val="0"/>
        <w:jc w:val="center"/>
      </w:pPr>
      <w:r>
        <w:t>单位概况</w:t>
      </w:r>
    </w:p>
    <w:p>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ascii="Arial"/>
          <w:spacing w:val="0"/>
          <w:w w:val="100"/>
          <w:position w:val="0"/>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rFonts w:hint="eastAsia" w:ascii="黑体" w:hAnsi="黑体" w:eastAsia="黑体" w:cs="黑体"/>
          <w:spacing w:val="0"/>
          <w:w w:val="100"/>
          <w:position w:val="0"/>
          <w:sz w:val="32"/>
          <w:szCs w:val="32"/>
        </w:rPr>
      </w:pPr>
      <w:r>
        <w:rPr>
          <w:rFonts w:hint="eastAsia" w:ascii="黑体" w:hAnsi="黑体" w:eastAsia="黑体" w:cs="黑体"/>
          <w:spacing w:val="0"/>
          <w:w w:val="100"/>
          <w:position w:val="0"/>
          <w:sz w:val="32"/>
          <w:szCs w:val="32"/>
        </w:rPr>
        <w:t>一、单位主要职责</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东湖区董家窑街道办事处为区委、区政府派出机构，主要职责是：</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1、宣传和贯彻党的路线、方针、政策；维护国家的宪法和法律；执行上级党委和人民政府的各项命令和决定；负责街道和社区党的建设、纪检监察工作；做好党的统一战线工作；发挥工、青、妇群众组织的积极作用。</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2、负责制订街道经济工作规划并组织实施，大力发展街道区域经济和第三产业；做好招商引资和协税护税工作，促进个私民营经济的发展；负责街道国有资产的监督、管理和内部审计工作。</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3、尊重社区居民委员会的法定地位，指导、帮助社区居民委员会开展组织建设、制度建设和其他工作；积极推动社区的精神文明和物质文明建设；研究和制定辖区的社区建设总体规划并组织实施；充分利用社区资源，开展社区服务和社区科教文卫及法律的普及工作；负责社区居民委员会干部的政治教育、业务培训；帮助社区居委会依法对居住区物业管理进行指导监督。</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4、负责辖区的计划生育工作。研究制定辖区的计划生育工作计划并组织实施；督促、指导社区和辖区单位开展计划生育网络建设、流动人口计划生育等各项工作。</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5、负责辖区的社会治安综合治理工作。研究制定辖区的社会治安综合治理规划并组织实施；督促、指导社区和辖区单位开展专项整治、安全防火、人民调解、法治宣传教育等各项社会治安综合治理工作；维护辖区政治安定和社会稳定。</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6、积极开展本辖区的劳动就业和社会保障工作，实施再就业工程。指导和帮助待业人员和下岗失业人员实现就业和再就业；开展就业援助、职业培训、离退休人员社会化管理等工作。</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7、负责辖区环境管理，参与城市建设和管理。协助城管、城建、环保、市政、园林等部门清理违章占道摊点、管理和监督市政配套设施，做好环境保护和绿化等工作。</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8、负责辖区的兵役调查登记、征兵工作和民兵预备役工作。</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9、做好辖区社会救助、拥军优属、民族民俗事务、爱国卫生、扶贫助残等社会事务工作。</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10、协助人大常委会组织辖区人大</w:t>
      </w:r>
      <w:bookmarkStart w:id="0" w:name="_GoBack"/>
      <w:bookmarkEnd w:id="0"/>
      <w:r>
        <w:rPr>
          <w:rFonts w:hint="eastAsia" w:ascii="仿宋" w:hAnsi="仿宋" w:eastAsia="仿宋" w:cs="仿宋"/>
          <w:snapToGrid w:val="0"/>
          <w:color w:val="000000"/>
          <w:spacing w:val="0"/>
          <w:w w:val="100"/>
          <w:position w:val="0"/>
          <w:sz w:val="32"/>
          <w:szCs w:val="32"/>
          <w:lang w:val="en-US" w:eastAsia="zh-CN" w:bidi="ar-SA"/>
        </w:rPr>
        <w:t>代表的学习、视察和换届选举等活动，为人大代表依法行使权力创造有利条件。</w:t>
      </w:r>
    </w:p>
    <w:p>
      <w:pPr>
        <w:pStyle w:val="16"/>
        <w:widowControl w:val="0"/>
        <w:kinsoku/>
        <w:topLinePunct/>
        <w:autoSpaceDE/>
        <w:autoSpaceDN/>
        <w:spacing w:line="560" w:lineRule="exact"/>
        <w:ind w:firstLine="640" w:firstLineChars="200"/>
        <w:jc w:val="both"/>
        <w:rPr>
          <w:rFonts w:hint="eastAsia" w:ascii="仿宋" w:hAnsi="仿宋" w:eastAsia="仿宋" w:cs="仿宋"/>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11、加强督促检查和信息调研工作，收取辖区居民群众反映的各类问题，协调有关部门加快解决：及时向区委、区政府反映辖区居民和单位的意见及要求，受理群众来信来访。</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baseline"/>
        <w:rPr>
          <w:rFonts w:hint="eastAsia" w:ascii="仿宋_GB2312" w:hAnsi="仿宋_GB2312" w:eastAsia="仿宋_GB2312" w:cs="仿宋_GB2312"/>
          <w:snapToGrid w:val="0"/>
          <w:color w:val="000000"/>
          <w:spacing w:val="0"/>
          <w:w w:val="100"/>
          <w:position w:val="0"/>
          <w:sz w:val="32"/>
          <w:szCs w:val="32"/>
          <w:lang w:val="en-US" w:eastAsia="zh-CN" w:bidi="ar-SA"/>
        </w:rPr>
      </w:pPr>
      <w:r>
        <w:rPr>
          <w:rFonts w:hint="eastAsia" w:ascii="仿宋" w:hAnsi="仿宋" w:eastAsia="仿宋" w:cs="仿宋"/>
          <w:snapToGrid w:val="0"/>
          <w:color w:val="000000"/>
          <w:spacing w:val="0"/>
          <w:w w:val="100"/>
          <w:position w:val="0"/>
          <w:sz w:val="32"/>
          <w:szCs w:val="32"/>
          <w:lang w:val="en-US" w:eastAsia="zh-CN" w:bidi="ar-SA"/>
        </w:rPr>
        <w:t>12、承办区委、区政府交办的其他工作。</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rFonts w:hint="eastAsia" w:ascii="黑体" w:hAnsi="黑体" w:eastAsia="黑体" w:cs="黑体"/>
          <w:spacing w:val="0"/>
          <w:w w:val="100"/>
          <w:position w:val="0"/>
          <w:sz w:val="32"/>
          <w:szCs w:val="32"/>
        </w:rPr>
      </w:pPr>
      <w:r>
        <w:rPr>
          <w:rFonts w:hint="eastAsia" w:ascii="黑体" w:hAnsi="黑体" w:eastAsia="黑体" w:cs="黑体"/>
          <w:spacing w:val="0"/>
          <w:w w:val="100"/>
          <w:position w:val="0"/>
          <w:sz w:val="32"/>
          <w:szCs w:val="32"/>
        </w:rPr>
        <w:t>二、机构设置及人员情况</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rFonts w:hint="eastAsia"/>
          <w:spacing w:val="0"/>
          <w:w w:val="100"/>
          <w:position w:val="0"/>
          <w:sz w:val="32"/>
          <w:szCs w:val="32"/>
          <w:lang w:val="en-US" w:eastAsia="zh-CN"/>
        </w:rPr>
        <w:t>2024</w:t>
      </w:r>
      <w:r>
        <w:rPr>
          <w:spacing w:val="0"/>
          <w:w w:val="100"/>
          <w:position w:val="0"/>
          <w:sz w:val="32"/>
          <w:szCs w:val="32"/>
        </w:rPr>
        <w:t>年</w:t>
      </w:r>
      <w:r>
        <w:rPr>
          <w:rFonts w:hint="eastAsia" w:ascii="仿宋" w:hAnsi="仿宋" w:eastAsia="仿宋" w:cs="仿宋"/>
          <w:snapToGrid w:val="0"/>
          <w:color w:val="000000"/>
          <w:spacing w:val="0"/>
          <w:w w:val="100"/>
          <w:position w:val="0"/>
          <w:sz w:val="32"/>
          <w:szCs w:val="32"/>
          <w:lang w:val="en-US" w:eastAsia="zh-CN" w:bidi="ar-SA"/>
        </w:rPr>
        <w:t>东湖区董家窑街道办事处</w:t>
      </w:r>
      <w:r>
        <w:rPr>
          <w:spacing w:val="0"/>
          <w:w w:val="100"/>
          <w:position w:val="0"/>
          <w:sz w:val="32"/>
          <w:szCs w:val="32"/>
        </w:rPr>
        <w:t>单位内设处室</w:t>
      </w:r>
      <w:r>
        <w:rPr>
          <w:rFonts w:hint="eastAsia"/>
          <w:spacing w:val="0"/>
          <w:w w:val="100"/>
          <w:position w:val="0"/>
          <w:sz w:val="32"/>
          <w:szCs w:val="32"/>
          <w:lang w:val="en-US" w:eastAsia="zh-CN"/>
        </w:rPr>
        <w:t>5</w:t>
      </w:r>
      <w:r>
        <w:rPr>
          <w:spacing w:val="0"/>
          <w:w w:val="100"/>
          <w:position w:val="0"/>
          <w:sz w:val="32"/>
          <w:szCs w:val="32"/>
        </w:rPr>
        <w:t>个，包括：</w:t>
      </w:r>
      <w:r>
        <w:rPr>
          <w:rFonts w:hint="eastAsia"/>
          <w:spacing w:val="0"/>
          <w:w w:val="100"/>
          <w:position w:val="0"/>
          <w:sz w:val="32"/>
          <w:szCs w:val="32"/>
          <w:u w:val="none" w:color="auto"/>
        </w:rPr>
        <w:t>党政</w:t>
      </w:r>
      <w:r>
        <w:rPr>
          <w:rFonts w:hint="eastAsia"/>
          <w:spacing w:val="0"/>
          <w:w w:val="100"/>
          <w:position w:val="0"/>
          <w:sz w:val="32"/>
          <w:szCs w:val="32"/>
          <w:u w:val="none" w:color="auto"/>
          <w:lang w:val="en-US" w:eastAsia="zh-CN"/>
        </w:rPr>
        <w:t>办公室、</w:t>
      </w:r>
      <w:r>
        <w:rPr>
          <w:rFonts w:hint="eastAsia"/>
          <w:spacing w:val="0"/>
          <w:w w:val="100"/>
          <w:position w:val="0"/>
          <w:sz w:val="32"/>
          <w:szCs w:val="32"/>
          <w:u w:val="none" w:color="auto"/>
        </w:rPr>
        <w:t>公共服务</w:t>
      </w:r>
      <w:r>
        <w:rPr>
          <w:rFonts w:hint="eastAsia"/>
          <w:spacing w:val="0"/>
          <w:w w:val="100"/>
          <w:position w:val="0"/>
          <w:sz w:val="32"/>
          <w:szCs w:val="32"/>
          <w:u w:val="none" w:color="auto"/>
          <w:lang w:val="en-US" w:eastAsia="zh-CN"/>
        </w:rPr>
        <w:t>办公室（便民服务中心）、</w:t>
      </w:r>
      <w:r>
        <w:rPr>
          <w:rFonts w:hint="eastAsia"/>
          <w:spacing w:val="0"/>
          <w:w w:val="100"/>
          <w:position w:val="0"/>
          <w:sz w:val="32"/>
          <w:szCs w:val="32"/>
          <w:u w:val="none" w:color="auto"/>
        </w:rPr>
        <w:t>行政执法</w:t>
      </w:r>
      <w:r>
        <w:rPr>
          <w:rFonts w:hint="eastAsia"/>
          <w:spacing w:val="0"/>
          <w:w w:val="100"/>
          <w:position w:val="0"/>
          <w:sz w:val="32"/>
          <w:szCs w:val="32"/>
          <w:u w:val="none" w:color="auto"/>
          <w:lang w:val="en-US" w:eastAsia="zh-CN"/>
        </w:rPr>
        <w:t>办公室（综合行政执法队）、</w:t>
      </w:r>
      <w:r>
        <w:rPr>
          <w:rFonts w:hint="eastAsia"/>
          <w:spacing w:val="0"/>
          <w:w w:val="100"/>
          <w:position w:val="0"/>
          <w:sz w:val="32"/>
          <w:szCs w:val="32"/>
          <w:u w:val="none" w:color="auto"/>
        </w:rPr>
        <w:t>社会治理</w:t>
      </w:r>
      <w:r>
        <w:rPr>
          <w:rFonts w:hint="eastAsia"/>
          <w:spacing w:val="0"/>
          <w:w w:val="100"/>
          <w:position w:val="0"/>
          <w:sz w:val="32"/>
          <w:szCs w:val="32"/>
          <w:u w:val="none" w:color="auto"/>
          <w:lang w:val="en-US" w:eastAsia="zh-CN"/>
        </w:rPr>
        <w:t>办公室（退役军人服务站、综治中心）、</w:t>
      </w:r>
      <w:r>
        <w:rPr>
          <w:rFonts w:hint="eastAsia"/>
          <w:spacing w:val="0"/>
          <w:w w:val="100"/>
          <w:position w:val="0"/>
          <w:sz w:val="32"/>
          <w:szCs w:val="32"/>
          <w:u w:val="none" w:color="auto"/>
        </w:rPr>
        <w:t>党建</w:t>
      </w:r>
      <w:r>
        <w:rPr>
          <w:rFonts w:hint="eastAsia"/>
          <w:spacing w:val="0"/>
          <w:w w:val="100"/>
          <w:position w:val="0"/>
          <w:sz w:val="32"/>
          <w:szCs w:val="32"/>
          <w:u w:val="none" w:color="auto"/>
          <w:lang w:val="en-US" w:eastAsia="zh-CN"/>
        </w:rPr>
        <w:t>办公室</w:t>
      </w:r>
      <w:r>
        <w:rPr>
          <w:spacing w:val="0"/>
          <w:w w:val="100"/>
          <w:position w:val="0"/>
          <w:sz w:val="32"/>
          <w:szCs w:val="32"/>
        </w:rPr>
        <w:t>。</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编制人数小计</w:t>
      </w:r>
      <w:r>
        <w:rPr>
          <w:rFonts w:hint="eastAsia"/>
          <w:spacing w:val="0"/>
          <w:w w:val="100"/>
          <w:position w:val="0"/>
          <w:sz w:val="32"/>
          <w:szCs w:val="32"/>
          <w:lang w:val="en-US" w:eastAsia="zh-CN"/>
        </w:rPr>
        <w:t>49</w:t>
      </w:r>
      <w:r>
        <w:rPr>
          <w:spacing w:val="0"/>
          <w:w w:val="100"/>
          <w:position w:val="0"/>
          <w:sz w:val="32"/>
          <w:szCs w:val="32"/>
        </w:rPr>
        <w:t>人,其中：行政编制人数</w:t>
      </w:r>
      <w:r>
        <w:rPr>
          <w:rFonts w:hint="eastAsia"/>
          <w:spacing w:val="0"/>
          <w:w w:val="100"/>
          <w:position w:val="0"/>
          <w:sz w:val="32"/>
          <w:szCs w:val="32"/>
          <w:lang w:val="en-US" w:eastAsia="zh-CN"/>
        </w:rPr>
        <w:t>14</w:t>
      </w:r>
      <w:r>
        <w:rPr>
          <w:spacing w:val="0"/>
          <w:w w:val="100"/>
          <w:position w:val="0"/>
          <w:sz w:val="32"/>
          <w:szCs w:val="32"/>
        </w:rPr>
        <w:t>人,全部补助事业编制人数</w:t>
      </w:r>
      <w:r>
        <w:rPr>
          <w:rFonts w:hint="eastAsia"/>
          <w:spacing w:val="0"/>
          <w:w w:val="100"/>
          <w:position w:val="0"/>
          <w:sz w:val="32"/>
          <w:szCs w:val="32"/>
          <w:lang w:val="en-US" w:eastAsia="zh-CN"/>
        </w:rPr>
        <w:t>35</w:t>
      </w:r>
      <w:r>
        <w:rPr>
          <w:spacing w:val="0"/>
          <w:w w:val="100"/>
          <w:position w:val="0"/>
          <w:sz w:val="32"/>
          <w:szCs w:val="32"/>
        </w:rPr>
        <w:t>人,部分补助事业编制人数</w:t>
      </w:r>
      <w:r>
        <w:rPr>
          <w:rFonts w:hint="eastAsia"/>
          <w:spacing w:val="0"/>
          <w:w w:val="100"/>
          <w:position w:val="0"/>
          <w:sz w:val="32"/>
          <w:szCs w:val="32"/>
          <w:lang w:val="en-US" w:eastAsia="zh-CN"/>
        </w:rPr>
        <w:t>0</w:t>
      </w:r>
      <w:r>
        <w:rPr>
          <w:spacing w:val="0"/>
          <w:w w:val="100"/>
          <w:position w:val="0"/>
          <w:sz w:val="32"/>
          <w:szCs w:val="32"/>
        </w:rPr>
        <w:t>人。实有人数小计</w:t>
      </w:r>
      <w:r>
        <w:rPr>
          <w:rFonts w:hint="eastAsia"/>
          <w:spacing w:val="0"/>
          <w:w w:val="100"/>
          <w:position w:val="0"/>
          <w:sz w:val="32"/>
          <w:szCs w:val="32"/>
          <w:lang w:val="en-US" w:eastAsia="zh-CN"/>
        </w:rPr>
        <w:t>55</w:t>
      </w:r>
      <w:r>
        <w:rPr>
          <w:spacing w:val="0"/>
          <w:w w:val="100"/>
          <w:position w:val="0"/>
          <w:sz w:val="32"/>
          <w:szCs w:val="32"/>
        </w:rPr>
        <w:t>人,其中：在职人数小计</w:t>
      </w:r>
      <w:r>
        <w:rPr>
          <w:rFonts w:hint="eastAsia"/>
          <w:spacing w:val="0"/>
          <w:w w:val="100"/>
          <w:position w:val="0"/>
          <w:sz w:val="32"/>
          <w:szCs w:val="32"/>
          <w:lang w:val="en-US" w:eastAsia="zh-CN"/>
        </w:rPr>
        <w:t>35</w:t>
      </w:r>
      <w:r>
        <w:rPr>
          <w:spacing w:val="0"/>
          <w:w w:val="100"/>
          <w:position w:val="0"/>
          <w:sz w:val="32"/>
          <w:szCs w:val="32"/>
        </w:rPr>
        <w:t>人,行政在职人数</w:t>
      </w:r>
      <w:r>
        <w:rPr>
          <w:rFonts w:hint="eastAsia"/>
          <w:spacing w:val="0"/>
          <w:w w:val="100"/>
          <w:position w:val="0"/>
          <w:sz w:val="32"/>
          <w:szCs w:val="32"/>
          <w:lang w:val="en-US" w:eastAsia="zh-CN"/>
        </w:rPr>
        <w:t>13</w:t>
      </w:r>
      <w:r>
        <w:rPr>
          <w:spacing w:val="0"/>
          <w:w w:val="100"/>
          <w:position w:val="0"/>
          <w:sz w:val="32"/>
          <w:szCs w:val="32"/>
        </w:rPr>
        <w:t>人,全部补助事业在职人数</w:t>
      </w:r>
      <w:r>
        <w:rPr>
          <w:rFonts w:hint="eastAsia"/>
          <w:spacing w:val="0"/>
          <w:w w:val="100"/>
          <w:position w:val="0"/>
          <w:sz w:val="32"/>
          <w:szCs w:val="32"/>
          <w:lang w:val="en-US" w:eastAsia="zh-CN"/>
        </w:rPr>
        <w:t>22</w:t>
      </w:r>
      <w:r>
        <w:rPr>
          <w:spacing w:val="0"/>
          <w:w w:val="100"/>
          <w:position w:val="0"/>
          <w:sz w:val="32"/>
          <w:szCs w:val="32"/>
        </w:rPr>
        <w:t>人,部分补助事业在职人数</w:t>
      </w:r>
      <w:r>
        <w:rPr>
          <w:rFonts w:hint="eastAsia"/>
          <w:spacing w:val="0"/>
          <w:w w:val="100"/>
          <w:position w:val="0"/>
          <w:sz w:val="32"/>
          <w:szCs w:val="32"/>
          <w:lang w:val="en-US" w:eastAsia="zh-CN"/>
        </w:rPr>
        <w:t>0</w:t>
      </w:r>
      <w:r>
        <w:rPr>
          <w:spacing w:val="0"/>
          <w:w w:val="100"/>
          <w:position w:val="0"/>
          <w:sz w:val="32"/>
          <w:szCs w:val="32"/>
        </w:rPr>
        <w:t>人</w:t>
      </w:r>
      <w:r>
        <w:rPr>
          <w:rFonts w:hint="eastAsia"/>
          <w:spacing w:val="0"/>
          <w:w w:val="100"/>
          <w:position w:val="0"/>
          <w:sz w:val="32"/>
          <w:szCs w:val="32"/>
          <w:lang w:eastAsia="zh-CN"/>
        </w:rPr>
        <w:t>；</w:t>
      </w:r>
      <w:r>
        <w:rPr>
          <w:spacing w:val="0"/>
          <w:w w:val="100"/>
          <w:position w:val="0"/>
          <w:sz w:val="32"/>
          <w:szCs w:val="32"/>
        </w:rPr>
        <w:t>离休人数小计</w:t>
      </w:r>
      <w:r>
        <w:rPr>
          <w:rFonts w:hint="eastAsia"/>
          <w:spacing w:val="0"/>
          <w:w w:val="100"/>
          <w:position w:val="0"/>
          <w:sz w:val="32"/>
          <w:szCs w:val="32"/>
          <w:lang w:val="en-US" w:eastAsia="zh-CN"/>
        </w:rPr>
        <w:t>0</w:t>
      </w:r>
      <w:r>
        <w:rPr>
          <w:spacing w:val="0"/>
          <w:w w:val="100"/>
          <w:position w:val="0"/>
          <w:sz w:val="32"/>
          <w:szCs w:val="32"/>
        </w:rPr>
        <w:t>人</w:t>
      </w:r>
      <w:r>
        <w:rPr>
          <w:rFonts w:hint="eastAsia"/>
          <w:spacing w:val="0"/>
          <w:w w:val="100"/>
          <w:position w:val="0"/>
          <w:sz w:val="32"/>
          <w:szCs w:val="32"/>
          <w:lang w:eastAsia="zh-CN"/>
        </w:rPr>
        <w:t>；</w:t>
      </w:r>
      <w:r>
        <w:rPr>
          <w:spacing w:val="0"/>
          <w:w w:val="100"/>
          <w:position w:val="0"/>
          <w:sz w:val="32"/>
          <w:szCs w:val="32"/>
        </w:rPr>
        <w:t>退休人数小计</w:t>
      </w:r>
      <w:r>
        <w:rPr>
          <w:rFonts w:hint="eastAsia"/>
          <w:spacing w:val="0"/>
          <w:w w:val="100"/>
          <w:position w:val="0"/>
          <w:sz w:val="32"/>
          <w:szCs w:val="32"/>
          <w:lang w:val="en-US" w:eastAsia="zh-CN"/>
        </w:rPr>
        <w:t>18</w:t>
      </w:r>
      <w:r>
        <w:rPr>
          <w:spacing w:val="0"/>
          <w:w w:val="100"/>
          <w:position w:val="0"/>
          <w:sz w:val="32"/>
          <w:szCs w:val="32"/>
        </w:rPr>
        <w:t>人</w:t>
      </w:r>
      <w:r>
        <w:rPr>
          <w:rFonts w:hint="eastAsia"/>
          <w:spacing w:val="0"/>
          <w:w w:val="100"/>
          <w:position w:val="0"/>
          <w:sz w:val="32"/>
          <w:szCs w:val="32"/>
          <w:lang w:eastAsia="zh-CN"/>
        </w:rPr>
        <w:t>；</w:t>
      </w:r>
      <w:r>
        <w:rPr>
          <w:spacing w:val="0"/>
          <w:w w:val="100"/>
          <w:position w:val="0"/>
          <w:sz w:val="32"/>
          <w:szCs w:val="32"/>
        </w:rPr>
        <w:t>遗属人数</w:t>
      </w:r>
      <w:r>
        <w:rPr>
          <w:rFonts w:hint="eastAsia"/>
          <w:spacing w:val="0"/>
          <w:w w:val="100"/>
          <w:position w:val="0"/>
          <w:sz w:val="32"/>
          <w:szCs w:val="32"/>
          <w:lang w:val="en-US" w:eastAsia="zh-CN"/>
        </w:rPr>
        <w:t>2</w:t>
      </w:r>
      <w:r>
        <w:rPr>
          <w:spacing w:val="0"/>
          <w:w w:val="100"/>
          <w:position w:val="0"/>
          <w:sz w:val="32"/>
          <w:szCs w:val="32"/>
        </w:rPr>
        <w:t>人。</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p>
    <w:p>
      <w:pPr>
        <w:pStyle w:val="2"/>
        <w:numPr>
          <w:ilvl w:val="0"/>
          <w:numId w:val="1"/>
        </w:numPr>
        <w:bidi w:val="0"/>
      </w:pPr>
      <w:r>
        <w:rPr>
          <w:rFonts w:hint="eastAsia" w:cs="宋体"/>
          <w:lang w:val="en-US" w:eastAsia="zh-CN"/>
        </w:rPr>
        <w:t>东湖区董家窑街道办事处</w:t>
      </w:r>
    </w:p>
    <w:p>
      <w:pPr>
        <w:pStyle w:val="2"/>
        <w:bidi w:val="0"/>
        <w:jc w:val="center"/>
        <w:rPr>
          <w:rStyle w:val="12"/>
        </w:rPr>
      </w:pPr>
      <w:r>
        <w:rPr>
          <w:rStyle w:val="12"/>
          <w:rFonts w:hint="eastAsia"/>
          <w:lang w:val="en-US"/>
        </w:rPr>
        <w:t xml:space="preserve">         </w:t>
      </w:r>
      <w:r>
        <w:rPr>
          <w:rStyle w:val="12"/>
          <w:rFonts w:hint="eastAsia"/>
          <w:lang w:val="en-US" w:eastAsia="zh-CN"/>
        </w:rPr>
        <w:t>2024</w:t>
      </w:r>
      <w:r>
        <w:rPr>
          <w:rStyle w:val="12"/>
        </w:rPr>
        <w:t>年单位预算表</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baseline"/>
        <w:rPr>
          <w:spacing w:val="0"/>
          <w:w w:val="100"/>
          <w:position w:val="0"/>
          <w:sz w:val="32"/>
          <w:szCs w:val="32"/>
        </w:rPr>
      </w:pPr>
      <w:r>
        <w:rPr>
          <w:spacing w:val="0"/>
          <w:w w:val="100"/>
          <w:position w:val="0"/>
          <w:sz w:val="32"/>
          <w:szCs w:val="32"/>
        </w:rPr>
        <w:t>（详见附表）</w:t>
      </w:r>
    </w:p>
    <w:p>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ascii="Arial"/>
          <w:spacing w:val="0"/>
          <w:w w:val="100"/>
          <w:position w:val="0"/>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ascii="Arial"/>
          <w:spacing w:val="0"/>
          <w:w w:val="100"/>
          <w:position w:val="0"/>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ascii="Arial"/>
          <w:spacing w:val="0"/>
          <w:w w:val="100"/>
          <w:position w:val="0"/>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ascii="Arial"/>
          <w:spacing w:val="0"/>
          <w:w w:val="100"/>
          <w:position w:val="0"/>
          <w:sz w:val="32"/>
          <w:szCs w:val="32"/>
        </w:rPr>
      </w:pPr>
    </w:p>
    <w:p>
      <w:pPr>
        <w:pStyle w:val="5"/>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0" w:firstLineChars="0"/>
        <w:textAlignment w:val="baseline"/>
        <w:rPr>
          <w:rStyle w:val="12"/>
          <w:rFonts w:hint="eastAsia" w:cs="宋体"/>
          <w:lang w:val="en-US" w:eastAsia="zh-CN"/>
        </w:rPr>
      </w:pPr>
      <w:r>
        <w:rPr>
          <w:spacing w:val="0"/>
          <w:w w:val="100"/>
          <w:position w:val="0"/>
          <w:sz w:val="32"/>
          <w:szCs w:val="32"/>
        </w:rPr>
        <w:br w:type="page"/>
      </w:r>
      <w:r>
        <w:rPr>
          <w:rStyle w:val="12"/>
        </w:rPr>
        <w:t xml:space="preserve"> </w:t>
      </w:r>
      <w:r>
        <w:rPr>
          <w:rStyle w:val="12"/>
          <w:rFonts w:hint="eastAsia" w:cs="宋体"/>
          <w:lang w:val="en-US" w:eastAsia="zh-CN"/>
        </w:rPr>
        <w:t>东湖区董家窑街道办事处</w:t>
      </w:r>
    </w:p>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1760" w:firstLineChars="400"/>
        <w:jc w:val="left"/>
        <w:textAlignment w:val="baseline"/>
        <w:rPr>
          <w:rStyle w:val="12"/>
        </w:rPr>
      </w:pPr>
      <w:r>
        <w:rPr>
          <w:rStyle w:val="12"/>
          <w:rFonts w:hint="eastAsia"/>
          <w:lang w:val="en-US" w:eastAsia="zh-CN"/>
        </w:rPr>
        <w:t>2024</w:t>
      </w:r>
      <w:r>
        <w:rPr>
          <w:rStyle w:val="12"/>
        </w:rPr>
        <w:t>年单位预算情况说明</w:t>
      </w:r>
    </w:p>
    <w:p>
      <w:pPr>
        <w:keepNext w:val="0"/>
        <w:keepLines w:val="0"/>
        <w:pageBreakBefore w:val="0"/>
        <w:widowControl w:val="0"/>
        <w:kinsoku/>
        <w:wordWrap/>
        <w:overflowPunct/>
        <w:topLinePunct w:val="0"/>
        <w:autoSpaceDE/>
        <w:autoSpaceDN/>
        <w:bidi w:val="0"/>
        <w:adjustRightInd w:val="0"/>
        <w:snapToGrid w:val="0"/>
        <w:spacing w:line="560" w:lineRule="exact"/>
        <w:textAlignment w:val="baseline"/>
        <w:rPr>
          <w:rFonts w:ascii="Arial"/>
          <w:spacing w:val="0"/>
          <w:w w:val="100"/>
          <w:position w:val="0"/>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left="30"/>
        <w:textAlignment w:val="baseline"/>
        <w:rPr>
          <w:rFonts w:hint="eastAsia" w:ascii="黑体" w:hAnsi="黑体" w:eastAsia="黑体" w:cs="黑体"/>
          <w:spacing w:val="0"/>
          <w:w w:val="100"/>
          <w:position w:val="0"/>
          <w:sz w:val="32"/>
          <w:szCs w:val="32"/>
        </w:rPr>
      </w:pPr>
      <w:r>
        <w:rPr>
          <w:rFonts w:hint="eastAsia" w:ascii="黑体" w:hAnsi="黑体" w:eastAsia="黑体" w:cs="黑体"/>
          <w:spacing w:val="0"/>
          <w:w w:val="100"/>
          <w:position w:val="0"/>
          <w:sz w:val="32"/>
          <w:szCs w:val="32"/>
        </w:rPr>
        <w:t>一、</w:t>
      </w:r>
      <w:r>
        <w:rPr>
          <w:rFonts w:hint="eastAsia" w:ascii="黑体" w:hAnsi="黑体" w:eastAsia="黑体" w:cs="黑体"/>
          <w:spacing w:val="0"/>
          <w:w w:val="100"/>
          <w:position w:val="0"/>
          <w:sz w:val="32"/>
          <w:szCs w:val="32"/>
          <w:lang w:val="en-US" w:eastAsia="zh-CN"/>
        </w:rPr>
        <w:t>2024</w:t>
      </w:r>
      <w:r>
        <w:rPr>
          <w:rFonts w:hint="eastAsia" w:ascii="黑体" w:hAnsi="黑体" w:eastAsia="黑体" w:cs="黑体"/>
          <w:spacing w:val="0"/>
          <w:w w:val="100"/>
          <w:position w:val="0"/>
          <w:sz w:val="32"/>
          <w:szCs w:val="32"/>
        </w:rPr>
        <w:t>年单位预算收支情况说明</w:t>
      </w:r>
    </w:p>
    <w:p>
      <w:pPr>
        <w:pStyle w:val="4"/>
        <w:bidi w:val="0"/>
      </w:pPr>
      <w:r>
        <w:t>(一)收入预算情况</w:t>
      </w:r>
    </w:p>
    <w:p>
      <w:pPr>
        <w:pStyle w:val="5"/>
        <w:keepNext w:val="0"/>
        <w:keepLines w:val="0"/>
        <w:pageBreakBefore w:val="0"/>
        <w:widowControl w:val="0"/>
        <w:kinsoku/>
        <w:wordWrap/>
        <w:overflowPunct/>
        <w:topLinePunct w:val="0"/>
        <w:autoSpaceDE/>
        <w:autoSpaceDN/>
        <w:bidi w:val="0"/>
        <w:adjustRightInd w:val="0"/>
        <w:snapToGrid w:val="0"/>
        <w:spacing w:line="560" w:lineRule="exact"/>
        <w:ind w:right="13" w:firstLine="640" w:firstLineChars="200"/>
        <w:jc w:val="both"/>
        <w:textAlignment w:val="baseline"/>
        <w:rPr>
          <w:spacing w:val="0"/>
          <w:w w:val="100"/>
          <w:position w:val="0"/>
          <w:sz w:val="32"/>
          <w:szCs w:val="32"/>
        </w:rPr>
      </w:pPr>
      <w:r>
        <w:rPr>
          <w:rFonts w:hint="eastAsia"/>
          <w:spacing w:val="0"/>
          <w:w w:val="100"/>
          <w:position w:val="0"/>
          <w:sz w:val="32"/>
          <w:szCs w:val="32"/>
          <w:lang w:val="en-US" w:eastAsia="zh-CN"/>
        </w:rPr>
        <w:t>2024</w:t>
      </w:r>
      <w:r>
        <w:rPr>
          <w:spacing w:val="0"/>
          <w:w w:val="100"/>
          <w:position w:val="0"/>
          <w:sz w:val="32"/>
          <w:szCs w:val="32"/>
        </w:rPr>
        <w:t>年</w:t>
      </w:r>
      <w:r>
        <w:rPr>
          <w:rFonts w:hint="eastAsia" w:ascii="仿宋" w:hAnsi="仿宋" w:eastAsia="仿宋" w:cs="仿宋"/>
          <w:snapToGrid w:val="0"/>
          <w:color w:val="000000"/>
          <w:spacing w:val="0"/>
          <w:w w:val="100"/>
          <w:position w:val="0"/>
          <w:sz w:val="32"/>
          <w:szCs w:val="32"/>
          <w:lang w:val="en-US" w:eastAsia="zh-CN" w:bidi="ar-SA"/>
        </w:rPr>
        <w:t>东湖区董家窑街道办事处</w:t>
      </w:r>
      <w:r>
        <w:rPr>
          <w:spacing w:val="0"/>
          <w:w w:val="100"/>
          <w:position w:val="0"/>
          <w:sz w:val="32"/>
          <w:szCs w:val="32"/>
        </w:rPr>
        <w:t>单位收入预算总额为</w:t>
      </w:r>
      <w:r>
        <w:rPr>
          <w:spacing w:val="0"/>
          <w:w w:val="100"/>
          <w:position w:val="0"/>
          <w:sz w:val="32"/>
          <w:szCs w:val="32"/>
          <w:u w:val="single" w:color="auto"/>
        </w:rPr>
        <w:t xml:space="preserve">    </w:t>
      </w:r>
      <w:r>
        <w:rPr>
          <w:rFonts w:hint="eastAsia"/>
          <w:spacing w:val="0"/>
          <w:w w:val="100"/>
          <w:position w:val="0"/>
          <w:sz w:val="32"/>
          <w:szCs w:val="32"/>
          <w:lang w:val="en-US" w:eastAsia="zh-CN"/>
        </w:rPr>
        <w:t>1844.88</w:t>
      </w:r>
      <w:r>
        <w:rPr>
          <w:spacing w:val="0"/>
          <w:w w:val="100"/>
          <w:position w:val="0"/>
          <w:sz w:val="32"/>
          <w:szCs w:val="32"/>
        </w:rPr>
        <w:t>万元,较上年预算安排增加</w:t>
      </w:r>
      <w:r>
        <w:rPr>
          <w:rFonts w:hint="eastAsia"/>
          <w:spacing w:val="0"/>
          <w:w w:val="100"/>
          <w:position w:val="0"/>
          <w:sz w:val="32"/>
          <w:szCs w:val="32"/>
          <w:lang w:val="en-US" w:eastAsia="zh-CN"/>
        </w:rPr>
        <w:t>1406.95</w:t>
      </w:r>
      <w:r>
        <w:rPr>
          <w:spacing w:val="0"/>
          <w:w w:val="100"/>
          <w:position w:val="0"/>
          <w:sz w:val="32"/>
          <w:szCs w:val="32"/>
        </w:rPr>
        <w:t>万元，其中：财政拨款收入</w:t>
      </w:r>
      <w:r>
        <w:rPr>
          <w:rFonts w:hint="eastAsia"/>
          <w:spacing w:val="0"/>
          <w:w w:val="100"/>
          <w:position w:val="0"/>
          <w:sz w:val="32"/>
          <w:szCs w:val="32"/>
          <w:lang w:val="en-US" w:eastAsia="zh-CN"/>
        </w:rPr>
        <w:t>1713.98</w:t>
      </w:r>
      <w:r>
        <w:rPr>
          <w:spacing w:val="0"/>
          <w:w w:val="100"/>
          <w:position w:val="0"/>
          <w:sz w:val="32"/>
          <w:szCs w:val="32"/>
        </w:rPr>
        <w:t>万元,较上年预算安排增加</w:t>
      </w:r>
      <w:r>
        <w:rPr>
          <w:rFonts w:hint="eastAsia"/>
          <w:spacing w:val="0"/>
          <w:w w:val="100"/>
          <w:position w:val="0"/>
          <w:sz w:val="32"/>
          <w:szCs w:val="32"/>
          <w:lang w:val="en-US" w:eastAsia="zh-CN"/>
        </w:rPr>
        <w:t>1276.05</w:t>
      </w:r>
      <w:r>
        <w:rPr>
          <w:spacing w:val="0"/>
          <w:w w:val="100"/>
          <w:position w:val="0"/>
          <w:sz w:val="32"/>
          <w:szCs w:val="32"/>
        </w:rPr>
        <w:t>万元；上年结转（结余）</w:t>
      </w:r>
      <w:r>
        <w:rPr>
          <w:rFonts w:hint="eastAsia"/>
          <w:spacing w:val="0"/>
          <w:w w:val="100"/>
          <w:position w:val="0"/>
          <w:sz w:val="32"/>
          <w:szCs w:val="32"/>
          <w:lang w:val="en-US" w:eastAsia="zh-CN"/>
        </w:rPr>
        <w:t>130.9</w:t>
      </w:r>
      <w:r>
        <w:rPr>
          <w:spacing w:val="0"/>
          <w:w w:val="100"/>
          <w:position w:val="0"/>
          <w:sz w:val="32"/>
          <w:szCs w:val="32"/>
        </w:rPr>
        <w:t>万元，较上年预算安排增加</w:t>
      </w:r>
      <w:r>
        <w:rPr>
          <w:rFonts w:hint="eastAsia"/>
          <w:spacing w:val="0"/>
          <w:w w:val="100"/>
          <w:position w:val="0"/>
          <w:sz w:val="32"/>
          <w:szCs w:val="32"/>
          <w:lang w:val="en-US" w:eastAsia="zh-CN"/>
        </w:rPr>
        <w:t>130.9</w:t>
      </w:r>
      <w:r>
        <w:rPr>
          <w:spacing w:val="0"/>
          <w:w w:val="100"/>
          <w:position w:val="0"/>
          <w:sz w:val="32"/>
          <w:szCs w:val="32"/>
        </w:rPr>
        <w:t>万元。</w:t>
      </w:r>
    </w:p>
    <w:p>
      <w:pPr>
        <w:pStyle w:val="4"/>
        <w:bidi w:val="0"/>
      </w:pPr>
      <w:r>
        <w:t>(二)支出预算情况</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22" w:right="15" w:firstLine="645"/>
        <w:textAlignment w:val="baseline"/>
        <w:rPr>
          <w:spacing w:val="0"/>
          <w:w w:val="100"/>
          <w:position w:val="0"/>
          <w:sz w:val="32"/>
          <w:szCs w:val="32"/>
        </w:rPr>
      </w:pPr>
      <w:r>
        <w:rPr>
          <w:rFonts w:hint="eastAsia"/>
          <w:spacing w:val="0"/>
          <w:w w:val="100"/>
          <w:position w:val="0"/>
          <w:sz w:val="32"/>
          <w:szCs w:val="32"/>
          <w:lang w:val="en-US" w:eastAsia="zh-CN"/>
        </w:rPr>
        <w:t>2024</w:t>
      </w:r>
      <w:r>
        <w:rPr>
          <w:spacing w:val="0"/>
          <w:w w:val="100"/>
          <w:position w:val="0"/>
          <w:sz w:val="32"/>
          <w:szCs w:val="32"/>
        </w:rPr>
        <w:t>年</w:t>
      </w:r>
      <w:r>
        <w:rPr>
          <w:rFonts w:hint="eastAsia" w:ascii="仿宋" w:hAnsi="仿宋" w:eastAsia="仿宋" w:cs="仿宋"/>
          <w:snapToGrid w:val="0"/>
          <w:color w:val="000000"/>
          <w:spacing w:val="0"/>
          <w:w w:val="100"/>
          <w:position w:val="0"/>
          <w:sz w:val="32"/>
          <w:szCs w:val="32"/>
          <w:lang w:val="en-US" w:eastAsia="zh-CN" w:bidi="ar-SA"/>
        </w:rPr>
        <w:t>东湖区董家窑街道办事处</w:t>
      </w:r>
      <w:r>
        <w:rPr>
          <w:spacing w:val="0"/>
          <w:w w:val="100"/>
          <w:position w:val="0"/>
          <w:sz w:val="32"/>
          <w:szCs w:val="32"/>
        </w:rPr>
        <w:t>单位支出预算总额为</w:t>
      </w:r>
      <w:r>
        <w:rPr>
          <w:rFonts w:hint="eastAsia"/>
          <w:spacing w:val="0"/>
          <w:w w:val="100"/>
          <w:position w:val="0"/>
          <w:sz w:val="32"/>
          <w:szCs w:val="32"/>
          <w:lang w:val="en-US" w:eastAsia="zh-CN"/>
        </w:rPr>
        <w:t>1844.88</w:t>
      </w:r>
      <w:r>
        <w:rPr>
          <w:spacing w:val="0"/>
          <w:w w:val="100"/>
          <w:position w:val="0"/>
          <w:sz w:val="32"/>
          <w:szCs w:val="32"/>
        </w:rPr>
        <w:t>万元,较上年预算安排增加</w:t>
      </w:r>
      <w:r>
        <w:rPr>
          <w:rFonts w:hint="eastAsia"/>
          <w:spacing w:val="0"/>
          <w:w w:val="100"/>
          <w:position w:val="0"/>
          <w:sz w:val="32"/>
          <w:szCs w:val="32"/>
          <w:lang w:val="en-US" w:eastAsia="zh-CN"/>
        </w:rPr>
        <w:t>1406.95</w:t>
      </w:r>
      <w:r>
        <w:rPr>
          <w:spacing w:val="0"/>
          <w:w w:val="100"/>
          <w:position w:val="0"/>
          <w:sz w:val="32"/>
          <w:szCs w:val="32"/>
        </w:rPr>
        <w:t>万元;其中：</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22" w:right="15" w:firstLine="645"/>
        <w:textAlignment w:val="baseline"/>
        <w:rPr>
          <w:spacing w:val="0"/>
          <w:w w:val="100"/>
          <w:position w:val="0"/>
          <w:sz w:val="32"/>
          <w:szCs w:val="32"/>
        </w:rPr>
      </w:pPr>
      <w:r>
        <w:rPr>
          <w:spacing w:val="0"/>
          <w:w w:val="100"/>
          <w:position w:val="0"/>
          <w:sz w:val="32"/>
          <w:szCs w:val="32"/>
        </w:rPr>
        <w:t>按支出项目类别划分：基本支出</w:t>
      </w:r>
      <w:r>
        <w:rPr>
          <w:rFonts w:hint="eastAsia"/>
          <w:spacing w:val="0"/>
          <w:w w:val="100"/>
          <w:position w:val="0"/>
          <w:sz w:val="32"/>
          <w:szCs w:val="32"/>
          <w:lang w:val="en-US" w:eastAsia="zh-CN"/>
        </w:rPr>
        <w:t>829.74</w:t>
      </w:r>
      <w:r>
        <w:rPr>
          <w:spacing w:val="0"/>
          <w:w w:val="100"/>
          <w:position w:val="0"/>
          <w:sz w:val="32"/>
          <w:szCs w:val="32"/>
        </w:rPr>
        <w:t>万元,较上年预算安排增加</w:t>
      </w:r>
      <w:r>
        <w:rPr>
          <w:rFonts w:hint="eastAsia"/>
          <w:spacing w:val="0"/>
          <w:w w:val="100"/>
          <w:position w:val="0"/>
          <w:sz w:val="32"/>
          <w:szCs w:val="32"/>
          <w:lang w:val="en-US" w:eastAsia="zh-CN"/>
        </w:rPr>
        <w:t>391.81</w:t>
      </w:r>
      <w:r>
        <w:rPr>
          <w:spacing w:val="0"/>
          <w:w w:val="100"/>
          <w:position w:val="0"/>
          <w:sz w:val="32"/>
          <w:szCs w:val="32"/>
        </w:rPr>
        <w:t>万元;其中：工资福利支出</w:t>
      </w:r>
      <w:r>
        <w:rPr>
          <w:rFonts w:hint="eastAsia"/>
          <w:spacing w:val="0"/>
          <w:w w:val="100"/>
          <w:position w:val="0"/>
          <w:sz w:val="32"/>
          <w:szCs w:val="32"/>
          <w:lang w:val="en-US" w:eastAsia="zh-CN"/>
        </w:rPr>
        <w:t>786.66</w:t>
      </w:r>
      <w:r>
        <w:rPr>
          <w:spacing w:val="0"/>
          <w:w w:val="100"/>
          <w:position w:val="0"/>
          <w:sz w:val="32"/>
          <w:szCs w:val="32"/>
        </w:rPr>
        <w:t>万元, 商品和服务支出</w:t>
      </w:r>
      <w:r>
        <w:rPr>
          <w:rFonts w:hint="eastAsia"/>
          <w:spacing w:val="0"/>
          <w:w w:val="100"/>
          <w:position w:val="0"/>
          <w:sz w:val="32"/>
          <w:szCs w:val="32"/>
          <w:lang w:val="en-US" w:eastAsia="zh-CN"/>
        </w:rPr>
        <w:t>34.12</w:t>
      </w:r>
      <w:r>
        <w:rPr>
          <w:spacing w:val="0"/>
          <w:w w:val="100"/>
          <w:position w:val="0"/>
          <w:sz w:val="32"/>
          <w:szCs w:val="32"/>
        </w:rPr>
        <w:t>万元,对个人和家庭的补助</w:t>
      </w:r>
      <w:r>
        <w:rPr>
          <w:rFonts w:hint="eastAsia"/>
          <w:spacing w:val="0"/>
          <w:w w:val="100"/>
          <w:position w:val="0"/>
          <w:sz w:val="32"/>
          <w:szCs w:val="32"/>
          <w:lang w:val="en-US" w:eastAsia="zh-CN"/>
        </w:rPr>
        <w:t>8.96</w:t>
      </w:r>
      <w:r>
        <w:rPr>
          <w:spacing w:val="0"/>
          <w:w w:val="100"/>
          <w:position w:val="0"/>
          <w:sz w:val="32"/>
          <w:szCs w:val="32"/>
        </w:rPr>
        <w:t>万元, 资本性支出</w:t>
      </w:r>
      <w:r>
        <w:rPr>
          <w:rFonts w:hint="eastAsia"/>
          <w:spacing w:val="0"/>
          <w:w w:val="100"/>
          <w:position w:val="0"/>
          <w:sz w:val="32"/>
          <w:szCs w:val="32"/>
          <w:lang w:val="en-US" w:eastAsia="zh-CN"/>
        </w:rPr>
        <w:t>0</w:t>
      </w:r>
      <w:r>
        <w:rPr>
          <w:spacing w:val="0"/>
          <w:w w:val="100"/>
          <w:position w:val="0"/>
          <w:sz w:val="32"/>
          <w:szCs w:val="32"/>
        </w:rPr>
        <w:t>万元；项目支出</w:t>
      </w:r>
      <w:r>
        <w:rPr>
          <w:rFonts w:hint="eastAsia"/>
          <w:spacing w:val="0"/>
          <w:w w:val="100"/>
          <w:position w:val="0"/>
          <w:sz w:val="32"/>
          <w:szCs w:val="32"/>
          <w:lang w:val="en-US" w:eastAsia="zh-CN"/>
        </w:rPr>
        <w:t>1015.15</w:t>
      </w:r>
      <w:r>
        <w:rPr>
          <w:spacing w:val="0"/>
          <w:w w:val="100"/>
          <w:position w:val="0"/>
          <w:sz w:val="32"/>
          <w:szCs w:val="32"/>
        </w:rPr>
        <w:t>万元,较上年预算安排增加</w:t>
      </w:r>
      <w:r>
        <w:rPr>
          <w:rFonts w:hint="eastAsia"/>
          <w:spacing w:val="0"/>
          <w:w w:val="100"/>
          <w:position w:val="0"/>
          <w:sz w:val="32"/>
          <w:szCs w:val="32"/>
          <w:lang w:val="en-US" w:eastAsia="zh-CN"/>
        </w:rPr>
        <w:t>1015.15</w:t>
      </w:r>
      <w:r>
        <w:rPr>
          <w:spacing w:val="0"/>
          <w:w w:val="100"/>
          <w:position w:val="0"/>
          <w:sz w:val="32"/>
          <w:szCs w:val="32"/>
        </w:rPr>
        <w:t>万元;其中：工资福利支出</w:t>
      </w:r>
      <w:r>
        <w:rPr>
          <w:rFonts w:hint="eastAsia"/>
          <w:spacing w:val="0"/>
          <w:w w:val="100"/>
          <w:position w:val="0"/>
          <w:sz w:val="32"/>
          <w:szCs w:val="32"/>
          <w:lang w:val="en-US" w:eastAsia="zh-CN"/>
        </w:rPr>
        <w:t>342.4</w:t>
      </w:r>
      <w:r>
        <w:rPr>
          <w:spacing w:val="0"/>
          <w:w w:val="100"/>
          <w:position w:val="0"/>
          <w:sz w:val="32"/>
          <w:szCs w:val="32"/>
        </w:rPr>
        <w:t>万元,商品和服务支出</w:t>
      </w:r>
      <w:r>
        <w:rPr>
          <w:rFonts w:hint="eastAsia"/>
          <w:spacing w:val="0"/>
          <w:w w:val="100"/>
          <w:position w:val="0"/>
          <w:sz w:val="32"/>
          <w:szCs w:val="32"/>
          <w:lang w:val="en-US" w:eastAsia="zh-CN"/>
        </w:rPr>
        <w:t>125.41</w:t>
      </w:r>
      <w:r>
        <w:rPr>
          <w:spacing w:val="0"/>
          <w:w w:val="100"/>
          <w:position w:val="0"/>
          <w:sz w:val="32"/>
          <w:szCs w:val="32"/>
        </w:rPr>
        <w:t>万元,对个人和家庭的补助</w:t>
      </w:r>
      <w:r>
        <w:rPr>
          <w:rFonts w:hint="eastAsia"/>
          <w:spacing w:val="0"/>
          <w:w w:val="100"/>
          <w:position w:val="0"/>
          <w:sz w:val="32"/>
          <w:szCs w:val="32"/>
          <w:lang w:val="en-US" w:eastAsia="zh-CN"/>
        </w:rPr>
        <w:t>547.26</w:t>
      </w:r>
      <w:r>
        <w:rPr>
          <w:spacing w:val="0"/>
          <w:w w:val="100"/>
          <w:position w:val="0"/>
          <w:sz w:val="32"/>
          <w:szCs w:val="32"/>
        </w:rPr>
        <w:t>万元,债务利息及费用支出</w:t>
      </w:r>
      <w:r>
        <w:rPr>
          <w:rFonts w:hint="eastAsia"/>
          <w:spacing w:val="0"/>
          <w:w w:val="100"/>
          <w:position w:val="0"/>
          <w:sz w:val="32"/>
          <w:szCs w:val="32"/>
          <w:lang w:val="en-US" w:eastAsia="zh-CN"/>
        </w:rPr>
        <w:t>0</w:t>
      </w:r>
      <w:r>
        <w:rPr>
          <w:spacing w:val="0"/>
          <w:w w:val="100"/>
          <w:position w:val="0"/>
          <w:sz w:val="32"/>
          <w:szCs w:val="32"/>
        </w:rPr>
        <w:t>万元，资本性支出（基本建设）</w:t>
      </w:r>
      <w:r>
        <w:rPr>
          <w:rFonts w:hint="eastAsia"/>
          <w:spacing w:val="0"/>
          <w:w w:val="100"/>
          <w:position w:val="0"/>
          <w:sz w:val="32"/>
          <w:szCs w:val="32"/>
          <w:lang w:val="en-US" w:eastAsia="zh-CN"/>
        </w:rPr>
        <w:t>0</w:t>
      </w:r>
      <w:r>
        <w:rPr>
          <w:spacing w:val="0"/>
          <w:w w:val="100"/>
          <w:position w:val="0"/>
          <w:sz w:val="32"/>
          <w:szCs w:val="32"/>
        </w:rPr>
        <w:t>万元,资本性支出</w:t>
      </w:r>
      <w:r>
        <w:rPr>
          <w:rFonts w:hint="eastAsia"/>
          <w:spacing w:val="0"/>
          <w:w w:val="100"/>
          <w:position w:val="0"/>
          <w:sz w:val="32"/>
          <w:szCs w:val="32"/>
          <w:lang w:val="en-US" w:eastAsia="zh-CN"/>
        </w:rPr>
        <w:t>0</w:t>
      </w:r>
      <w:r>
        <w:rPr>
          <w:spacing w:val="0"/>
          <w:w w:val="100"/>
          <w:position w:val="0"/>
          <w:sz w:val="32"/>
          <w:szCs w:val="32"/>
        </w:rPr>
        <w:t>万元，对企业补助</w:t>
      </w:r>
      <w:r>
        <w:rPr>
          <w:rFonts w:hint="eastAsia"/>
          <w:spacing w:val="0"/>
          <w:w w:val="100"/>
          <w:position w:val="0"/>
          <w:sz w:val="32"/>
          <w:szCs w:val="32"/>
          <w:lang w:val="en-US" w:eastAsia="zh-CN"/>
        </w:rPr>
        <w:t>0</w:t>
      </w:r>
      <w:r>
        <w:rPr>
          <w:spacing w:val="0"/>
          <w:w w:val="100"/>
          <w:position w:val="0"/>
          <w:sz w:val="32"/>
          <w:szCs w:val="32"/>
        </w:rPr>
        <w:t>万元，其他支出</w:t>
      </w:r>
      <w:r>
        <w:rPr>
          <w:rFonts w:hint="eastAsia"/>
          <w:spacing w:val="0"/>
          <w:w w:val="100"/>
          <w:position w:val="0"/>
          <w:sz w:val="32"/>
          <w:szCs w:val="32"/>
          <w:lang w:val="en-US" w:eastAsia="zh-CN"/>
        </w:rPr>
        <w:t>0.08</w:t>
      </w:r>
      <w:r>
        <w:rPr>
          <w:spacing w:val="0"/>
          <w:w w:val="100"/>
          <w:position w:val="0"/>
          <w:sz w:val="32"/>
          <w:szCs w:val="32"/>
        </w:rPr>
        <w:t>万元。</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26" w:right="91" w:firstLine="640" w:firstLineChars="200"/>
        <w:jc w:val="both"/>
        <w:textAlignment w:val="baseline"/>
        <w:rPr>
          <w:rFonts w:hint="eastAsia" w:eastAsia="仿宋"/>
          <w:spacing w:val="0"/>
          <w:w w:val="100"/>
          <w:position w:val="0"/>
          <w:sz w:val="32"/>
          <w:szCs w:val="32"/>
          <w:lang w:eastAsia="zh-CN"/>
        </w:rPr>
      </w:pPr>
      <w:r>
        <w:rPr>
          <w:spacing w:val="0"/>
          <w:w w:val="100"/>
          <w:position w:val="0"/>
          <w:sz w:val="32"/>
          <w:szCs w:val="32"/>
        </w:rPr>
        <w:t>按支出功能科目划分：一般公共服务支出</w:t>
      </w:r>
      <w:r>
        <w:rPr>
          <w:rFonts w:hint="eastAsia"/>
          <w:spacing w:val="0"/>
          <w:w w:val="100"/>
          <w:position w:val="0"/>
          <w:sz w:val="32"/>
          <w:szCs w:val="32"/>
          <w:lang w:val="en-US" w:eastAsia="zh-CN"/>
        </w:rPr>
        <w:t>1018.93</w:t>
      </w:r>
      <w:r>
        <w:rPr>
          <w:spacing w:val="0"/>
          <w:w w:val="100"/>
          <w:position w:val="0"/>
          <w:sz w:val="32"/>
          <w:szCs w:val="32"/>
        </w:rPr>
        <w:t>万元,较上年预算安排增加</w:t>
      </w:r>
      <w:r>
        <w:rPr>
          <w:rFonts w:hint="eastAsia"/>
          <w:spacing w:val="0"/>
          <w:w w:val="100"/>
          <w:position w:val="0"/>
          <w:sz w:val="32"/>
          <w:szCs w:val="32"/>
          <w:lang w:val="en-US" w:eastAsia="zh-CN"/>
        </w:rPr>
        <w:t>695.75</w:t>
      </w:r>
      <w:r>
        <w:rPr>
          <w:spacing w:val="0"/>
          <w:w w:val="100"/>
          <w:position w:val="0"/>
          <w:sz w:val="32"/>
          <w:szCs w:val="32"/>
        </w:rPr>
        <w:t>万元;国防支出</w:t>
      </w:r>
      <w:r>
        <w:rPr>
          <w:rFonts w:hint="eastAsia"/>
          <w:spacing w:val="0"/>
          <w:w w:val="100"/>
          <w:position w:val="0"/>
          <w:sz w:val="32"/>
          <w:szCs w:val="32"/>
          <w:lang w:val="en-US" w:eastAsia="zh-CN"/>
        </w:rPr>
        <w:t>0.05</w:t>
      </w:r>
      <w:r>
        <w:rPr>
          <w:spacing w:val="0"/>
          <w:w w:val="100"/>
          <w:position w:val="0"/>
          <w:sz w:val="32"/>
          <w:szCs w:val="32"/>
        </w:rPr>
        <w:t>万元,较上年预算安排增加</w:t>
      </w:r>
      <w:r>
        <w:rPr>
          <w:rFonts w:hint="eastAsia"/>
          <w:spacing w:val="0"/>
          <w:w w:val="100"/>
          <w:position w:val="0"/>
          <w:sz w:val="32"/>
          <w:szCs w:val="32"/>
          <w:lang w:val="en-US" w:eastAsia="zh-CN"/>
        </w:rPr>
        <w:t>0.05</w:t>
      </w:r>
      <w:r>
        <w:rPr>
          <w:spacing w:val="0"/>
          <w:w w:val="100"/>
          <w:position w:val="0"/>
          <w:sz w:val="32"/>
          <w:szCs w:val="32"/>
        </w:rPr>
        <w:t>万元;社会保障和就业支出</w:t>
      </w:r>
      <w:r>
        <w:rPr>
          <w:rFonts w:hint="eastAsia"/>
          <w:spacing w:val="0"/>
          <w:w w:val="100"/>
          <w:position w:val="0"/>
          <w:sz w:val="32"/>
          <w:szCs w:val="32"/>
          <w:lang w:val="en-US" w:eastAsia="zh-CN"/>
        </w:rPr>
        <w:t>615</w:t>
      </w:r>
      <w:r>
        <w:rPr>
          <w:spacing w:val="0"/>
          <w:w w:val="100"/>
          <w:position w:val="0"/>
          <w:sz w:val="32"/>
          <w:szCs w:val="32"/>
        </w:rPr>
        <w:t>万元,较上年预算安排增加</w:t>
      </w:r>
      <w:r>
        <w:rPr>
          <w:rFonts w:hint="eastAsia"/>
          <w:spacing w:val="0"/>
          <w:w w:val="100"/>
          <w:position w:val="0"/>
          <w:sz w:val="32"/>
          <w:szCs w:val="32"/>
          <w:lang w:val="en-US" w:eastAsia="zh-CN"/>
        </w:rPr>
        <w:t>552.81</w:t>
      </w:r>
      <w:r>
        <w:rPr>
          <w:spacing w:val="0"/>
          <w:w w:val="100"/>
          <w:position w:val="0"/>
          <w:sz w:val="32"/>
          <w:szCs w:val="32"/>
        </w:rPr>
        <w:t>万元;城乡社区支出</w:t>
      </w:r>
      <w:r>
        <w:rPr>
          <w:rFonts w:hint="eastAsia"/>
          <w:spacing w:val="0"/>
          <w:w w:val="100"/>
          <w:position w:val="0"/>
          <w:sz w:val="32"/>
          <w:szCs w:val="32"/>
          <w:lang w:val="en-US" w:eastAsia="zh-CN"/>
        </w:rPr>
        <w:t>152.9</w:t>
      </w:r>
      <w:r>
        <w:rPr>
          <w:spacing w:val="0"/>
          <w:w w:val="100"/>
          <w:position w:val="0"/>
          <w:sz w:val="32"/>
          <w:szCs w:val="32"/>
        </w:rPr>
        <w:t>万元,较上年预算安排增加</w:t>
      </w:r>
      <w:r>
        <w:rPr>
          <w:rFonts w:hint="eastAsia"/>
          <w:spacing w:val="0"/>
          <w:w w:val="100"/>
          <w:position w:val="0"/>
          <w:sz w:val="32"/>
          <w:szCs w:val="32"/>
          <w:lang w:val="en-US" w:eastAsia="zh-CN"/>
        </w:rPr>
        <w:t>152.9</w:t>
      </w:r>
      <w:r>
        <w:rPr>
          <w:spacing w:val="0"/>
          <w:w w:val="100"/>
          <w:position w:val="0"/>
          <w:sz w:val="32"/>
          <w:szCs w:val="32"/>
        </w:rPr>
        <w:t>万元;住房保障支出</w:t>
      </w:r>
      <w:r>
        <w:rPr>
          <w:rFonts w:hint="eastAsia"/>
          <w:spacing w:val="0"/>
          <w:w w:val="100"/>
          <w:position w:val="0"/>
          <w:sz w:val="32"/>
          <w:szCs w:val="32"/>
          <w:lang w:val="en-US" w:eastAsia="zh-CN"/>
        </w:rPr>
        <w:t>58</w:t>
      </w:r>
      <w:r>
        <w:rPr>
          <w:spacing w:val="0"/>
          <w:w w:val="100"/>
          <w:position w:val="0"/>
          <w:sz w:val="32"/>
          <w:szCs w:val="32"/>
        </w:rPr>
        <w:t>万元,较上年预算安排增加</w:t>
      </w:r>
      <w:r>
        <w:rPr>
          <w:rFonts w:hint="eastAsia"/>
          <w:spacing w:val="0"/>
          <w:w w:val="100"/>
          <w:position w:val="0"/>
          <w:sz w:val="32"/>
          <w:szCs w:val="32"/>
          <w:lang w:val="en-US" w:eastAsia="zh-CN"/>
        </w:rPr>
        <w:t>5.44</w:t>
      </w:r>
      <w:r>
        <w:rPr>
          <w:spacing w:val="0"/>
          <w:w w:val="100"/>
          <w:position w:val="0"/>
          <w:sz w:val="32"/>
          <w:szCs w:val="32"/>
        </w:rPr>
        <w:t>万元</w:t>
      </w:r>
      <w:r>
        <w:rPr>
          <w:rFonts w:hint="eastAsia"/>
          <w:spacing w:val="0"/>
          <w:w w:val="100"/>
          <w:position w:val="0"/>
          <w:sz w:val="32"/>
          <w:szCs w:val="32"/>
          <w:lang w:eastAsia="zh-CN"/>
        </w:rPr>
        <w:t>。</w:t>
      </w:r>
    </w:p>
    <w:p>
      <w:pPr>
        <w:pStyle w:val="5"/>
        <w:keepNext w:val="0"/>
        <w:keepLines w:val="0"/>
        <w:pageBreakBefore w:val="0"/>
        <w:widowControl w:val="0"/>
        <w:kinsoku/>
        <w:wordWrap/>
        <w:overflowPunct/>
        <w:topLinePunct w:val="0"/>
        <w:autoSpaceDE/>
        <w:autoSpaceDN/>
        <w:bidi w:val="0"/>
        <w:adjustRightInd w:val="0"/>
        <w:snapToGrid w:val="0"/>
        <w:spacing w:line="560" w:lineRule="exact"/>
        <w:ind w:right="18" w:firstLine="640" w:firstLineChars="200"/>
        <w:jc w:val="both"/>
        <w:textAlignment w:val="baseline"/>
        <w:rPr>
          <w:spacing w:val="0"/>
          <w:w w:val="100"/>
          <w:position w:val="0"/>
          <w:sz w:val="32"/>
          <w:szCs w:val="32"/>
        </w:rPr>
      </w:pPr>
      <w:r>
        <w:rPr>
          <w:spacing w:val="0"/>
          <w:w w:val="100"/>
          <w:position w:val="0"/>
          <w:sz w:val="32"/>
          <w:szCs w:val="32"/>
        </w:rPr>
        <w:t>按支出经济分类划分：工资福利支出</w:t>
      </w:r>
      <w:r>
        <w:rPr>
          <w:rFonts w:hint="eastAsia"/>
          <w:spacing w:val="0"/>
          <w:w w:val="100"/>
          <w:position w:val="0"/>
          <w:sz w:val="32"/>
          <w:szCs w:val="32"/>
          <w:lang w:val="en-US" w:eastAsia="zh-CN"/>
        </w:rPr>
        <w:t>1129.06</w:t>
      </w:r>
      <w:r>
        <w:rPr>
          <w:spacing w:val="0"/>
          <w:w w:val="100"/>
          <w:position w:val="0"/>
          <w:sz w:val="32"/>
          <w:szCs w:val="32"/>
        </w:rPr>
        <w:t>万元,较上年预算安排增加</w:t>
      </w:r>
      <w:r>
        <w:rPr>
          <w:rFonts w:hint="eastAsia"/>
          <w:spacing w:val="0"/>
          <w:w w:val="100"/>
          <w:position w:val="0"/>
          <w:sz w:val="32"/>
          <w:szCs w:val="32"/>
          <w:lang w:val="en-US" w:eastAsia="zh-CN"/>
        </w:rPr>
        <w:t>730.88</w:t>
      </w:r>
      <w:r>
        <w:rPr>
          <w:spacing w:val="0"/>
          <w:w w:val="100"/>
          <w:position w:val="0"/>
          <w:sz w:val="32"/>
          <w:szCs w:val="32"/>
        </w:rPr>
        <w:t>万元;商品和服务支出</w:t>
      </w:r>
      <w:r>
        <w:rPr>
          <w:rFonts w:hint="eastAsia"/>
          <w:spacing w:val="0"/>
          <w:w w:val="100"/>
          <w:position w:val="0"/>
          <w:sz w:val="32"/>
          <w:szCs w:val="32"/>
          <w:lang w:val="en-US" w:eastAsia="zh-CN"/>
        </w:rPr>
        <w:t>159.53</w:t>
      </w:r>
      <w:r>
        <w:rPr>
          <w:spacing w:val="0"/>
          <w:w w:val="100"/>
          <w:position w:val="0"/>
          <w:sz w:val="32"/>
          <w:szCs w:val="32"/>
        </w:rPr>
        <w:t>万元,较上年预算安排增加</w:t>
      </w:r>
      <w:r>
        <w:rPr>
          <w:rFonts w:hint="eastAsia"/>
          <w:spacing w:val="0"/>
          <w:w w:val="100"/>
          <w:position w:val="0"/>
          <w:sz w:val="32"/>
          <w:szCs w:val="32"/>
          <w:lang w:val="en-US" w:eastAsia="zh-CN"/>
        </w:rPr>
        <w:t>125.65</w:t>
      </w:r>
      <w:r>
        <w:rPr>
          <w:spacing w:val="0"/>
          <w:w w:val="100"/>
          <w:position w:val="0"/>
          <w:sz w:val="32"/>
          <w:szCs w:val="32"/>
        </w:rPr>
        <w:t>万元;对个人和家庭的补助</w:t>
      </w:r>
      <w:r>
        <w:rPr>
          <w:rFonts w:hint="eastAsia"/>
          <w:spacing w:val="0"/>
          <w:w w:val="100"/>
          <w:position w:val="0"/>
          <w:sz w:val="32"/>
          <w:szCs w:val="32"/>
          <w:lang w:val="en-US" w:eastAsia="zh-CN"/>
        </w:rPr>
        <w:t>556.22</w:t>
      </w:r>
      <w:r>
        <w:rPr>
          <w:spacing w:val="0"/>
          <w:w w:val="100"/>
          <w:position w:val="0"/>
          <w:sz w:val="32"/>
          <w:szCs w:val="32"/>
        </w:rPr>
        <w:t>万元,较上年预算安排增加</w:t>
      </w:r>
      <w:r>
        <w:rPr>
          <w:rFonts w:hint="eastAsia"/>
          <w:spacing w:val="0"/>
          <w:w w:val="100"/>
          <w:position w:val="0"/>
          <w:sz w:val="32"/>
          <w:szCs w:val="32"/>
          <w:lang w:val="en-US" w:eastAsia="zh-CN"/>
        </w:rPr>
        <w:t>550.35</w:t>
      </w:r>
      <w:r>
        <w:rPr>
          <w:spacing w:val="0"/>
          <w:w w:val="100"/>
          <w:position w:val="0"/>
          <w:sz w:val="32"/>
          <w:szCs w:val="32"/>
        </w:rPr>
        <w:t>万元；其他支出</w:t>
      </w:r>
      <w:r>
        <w:rPr>
          <w:rFonts w:hint="eastAsia"/>
          <w:spacing w:val="0"/>
          <w:w w:val="100"/>
          <w:position w:val="0"/>
          <w:sz w:val="32"/>
          <w:szCs w:val="32"/>
          <w:lang w:val="en-US" w:eastAsia="zh-CN"/>
        </w:rPr>
        <w:t>0.08</w:t>
      </w:r>
      <w:r>
        <w:rPr>
          <w:spacing w:val="0"/>
          <w:w w:val="100"/>
          <w:position w:val="0"/>
          <w:sz w:val="32"/>
          <w:szCs w:val="32"/>
        </w:rPr>
        <w:t>万元,较上年预算安排增加</w:t>
      </w:r>
      <w:r>
        <w:rPr>
          <w:rFonts w:hint="eastAsia"/>
          <w:spacing w:val="0"/>
          <w:w w:val="100"/>
          <w:position w:val="0"/>
          <w:sz w:val="32"/>
          <w:szCs w:val="32"/>
          <w:lang w:val="en-US" w:eastAsia="zh-CN"/>
        </w:rPr>
        <w:t>0.08</w:t>
      </w:r>
      <w:r>
        <w:rPr>
          <w:spacing w:val="0"/>
          <w:w w:val="100"/>
          <w:position w:val="0"/>
          <w:sz w:val="32"/>
          <w:szCs w:val="32"/>
        </w:rPr>
        <w:t>万元。</w:t>
      </w:r>
    </w:p>
    <w:p>
      <w:pPr>
        <w:pStyle w:val="4"/>
        <w:bidi w:val="0"/>
      </w:pPr>
      <w:r>
        <w:t>(三)财政拨款支出情况</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left"/>
        <w:textAlignment w:val="baseline"/>
        <w:rPr>
          <w:spacing w:val="0"/>
          <w:w w:val="100"/>
          <w:position w:val="0"/>
          <w:sz w:val="32"/>
          <w:szCs w:val="32"/>
        </w:rPr>
      </w:pPr>
      <w:r>
        <w:rPr>
          <w:rFonts w:hint="eastAsia"/>
          <w:spacing w:val="0"/>
          <w:w w:val="100"/>
          <w:position w:val="0"/>
          <w:sz w:val="32"/>
          <w:szCs w:val="32"/>
          <w:lang w:val="en-US" w:eastAsia="zh-CN"/>
        </w:rPr>
        <w:t>2024</w:t>
      </w:r>
      <w:r>
        <w:rPr>
          <w:spacing w:val="0"/>
          <w:w w:val="100"/>
          <w:position w:val="0"/>
          <w:sz w:val="32"/>
          <w:szCs w:val="32"/>
        </w:rPr>
        <w:t>年</w:t>
      </w:r>
      <w:r>
        <w:rPr>
          <w:rFonts w:hint="eastAsia" w:ascii="仿宋" w:hAnsi="仿宋" w:eastAsia="仿宋" w:cs="仿宋"/>
          <w:snapToGrid w:val="0"/>
          <w:color w:val="000000"/>
          <w:spacing w:val="0"/>
          <w:w w:val="100"/>
          <w:position w:val="0"/>
          <w:sz w:val="32"/>
          <w:szCs w:val="32"/>
          <w:lang w:val="en-US" w:eastAsia="zh-CN" w:bidi="ar-SA"/>
        </w:rPr>
        <w:t>东湖区董家窑街道办事处</w:t>
      </w:r>
      <w:r>
        <w:rPr>
          <w:spacing w:val="0"/>
          <w:w w:val="100"/>
          <w:position w:val="0"/>
          <w:sz w:val="32"/>
          <w:szCs w:val="32"/>
        </w:rPr>
        <w:t>单位财政拨款支出预算总额</w:t>
      </w:r>
      <w:r>
        <w:rPr>
          <w:rFonts w:hint="eastAsia"/>
          <w:spacing w:val="0"/>
          <w:w w:val="100"/>
          <w:position w:val="0"/>
          <w:sz w:val="32"/>
          <w:szCs w:val="32"/>
          <w:lang w:val="en-US" w:eastAsia="zh-CN"/>
        </w:rPr>
        <w:t>1713.98</w:t>
      </w:r>
      <w:r>
        <w:rPr>
          <w:spacing w:val="0"/>
          <w:w w:val="100"/>
          <w:position w:val="0"/>
          <w:sz w:val="32"/>
          <w:szCs w:val="32"/>
        </w:rPr>
        <w:t>万元,较上年预算安排增加</w:t>
      </w:r>
      <w:r>
        <w:rPr>
          <w:rFonts w:hint="eastAsia"/>
          <w:spacing w:val="0"/>
          <w:w w:val="100"/>
          <w:position w:val="0"/>
          <w:sz w:val="32"/>
          <w:szCs w:val="32"/>
          <w:lang w:val="en-US" w:eastAsia="zh-CN"/>
        </w:rPr>
        <w:t>1276.05</w:t>
      </w:r>
      <w:r>
        <w:rPr>
          <w:spacing w:val="0"/>
          <w:w w:val="100"/>
          <w:position w:val="0"/>
          <w:sz w:val="32"/>
          <w:szCs w:val="32"/>
        </w:rPr>
        <w:t>万元;</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rFonts w:hint="eastAsia"/>
          <w:spacing w:val="0"/>
          <w:w w:val="100"/>
          <w:position w:val="0"/>
          <w:sz w:val="32"/>
          <w:szCs w:val="32"/>
          <w:lang w:eastAsia="zh-CN"/>
        </w:rPr>
      </w:pPr>
      <w:r>
        <w:rPr>
          <w:spacing w:val="0"/>
          <w:w w:val="100"/>
          <w:position w:val="0"/>
          <w:sz w:val="32"/>
          <w:szCs w:val="32"/>
        </w:rPr>
        <w:t>按支出功能科目划分：一般公共服务支出</w:t>
      </w:r>
      <w:r>
        <w:rPr>
          <w:rFonts w:hint="eastAsia"/>
          <w:spacing w:val="0"/>
          <w:w w:val="100"/>
          <w:position w:val="0"/>
          <w:sz w:val="32"/>
          <w:szCs w:val="32"/>
          <w:lang w:val="en-US" w:eastAsia="zh-CN"/>
        </w:rPr>
        <w:t>1018.93</w:t>
      </w:r>
      <w:r>
        <w:rPr>
          <w:spacing w:val="0"/>
          <w:w w:val="100"/>
          <w:position w:val="0"/>
          <w:sz w:val="32"/>
          <w:szCs w:val="32"/>
        </w:rPr>
        <w:t>万元，国防支出</w:t>
      </w:r>
      <w:r>
        <w:rPr>
          <w:rFonts w:hint="eastAsia"/>
          <w:spacing w:val="0"/>
          <w:w w:val="100"/>
          <w:position w:val="0"/>
          <w:sz w:val="32"/>
          <w:szCs w:val="32"/>
          <w:lang w:val="en-US" w:eastAsia="zh-CN"/>
        </w:rPr>
        <w:t>0.05</w:t>
      </w:r>
      <w:r>
        <w:rPr>
          <w:spacing w:val="0"/>
          <w:w w:val="100"/>
          <w:position w:val="0"/>
          <w:sz w:val="32"/>
          <w:szCs w:val="32"/>
        </w:rPr>
        <w:t>万元,社会保障和就业支出</w:t>
      </w:r>
      <w:r>
        <w:rPr>
          <w:rFonts w:hint="eastAsia"/>
          <w:spacing w:val="0"/>
          <w:w w:val="100"/>
          <w:position w:val="0"/>
          <w:sz w:val="32"/>
          <w:szCs w:val="32"/>
          <w:lang w:val="en-US" w:eastAsia="zh-CN"/>
        </w:rPr>
        <w:t>615</w:t>
      </w:r>
      <w:r>
        <w:rPr>
          <w:spacing w:val="0"/>
          <w:w w:val="100"/>
          <w:position w:val="0"/>
          <w:sz w:val="32"/>
          <w:szCs w:val="32"/>
        </w:rPr>
        <w:t>万元,城乡社区支出</w:t>
      </w:r>
      <w:r>
        <w:rPr>
          <w:rFonts w:hint="eastAsia"/>
          <w:spacing w:val="0"/>
          <w:w w:val="100"/>
          <w:position w:val="0"/>
          <w:sz w:val="32"/>
          <w:szCs w:val="32"/>
          <w:lang w:val="en-US" w:eastAsia="zh-CN"/>
        </w:rPr>
        <w:t>22</w:t>
      </w:r>
      <w:r>
        <w:rPr>
          <w:spacing w:val="0"/>
          <w:w w:val="100"/>
          <w:position w:val="0"/>
          <w:sz w:val="32"/>
          <w:szCs w:val="32"/>
        </w:rPr>
        <w:t>万元,住房保障支出</w:t>
      </w:r>
      <w:r>
        <w:rPr>
          <w:rFonts w:hint="eastAsia"/>
          <w:spacing w:val="0"/>
          <w:w w:val="100"/>
          <w:position w:val="0"/>
          <w:sz w:val="32"/>
          <w:szCs w:val="32"/>
          <w:lang w:val="en-US" w:eastAsia="zh-CN"/>
        </w:rPr>
        <w:t>58</w:t>
      </w:r>
      <w:r>
        <w:rPr>
          <w:spacing w:val="0"/>
          <w:w w:val="100"/>
          <w:position w:val="0"/>
          <w:sz w:val="32"/>
          <w:szCs w:val="32"/>
        </w:rPr>
        <w:t>万元</w:t>
      </w:r>
      <w:r>
        <w:rPr>
          <w:rFonts w:hint="eastAsia"/>
          <w:spacing w:val="0"/>
          <w:w w:val="100"/>
          <w:position w:val="0"/>
          <w:sz w:val="32"/>
          <w:szCs w:val="32"/>
          <w:lang w:eastAsia="zh-CN"/>
        </w:rPr>
        <w:t>。</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按支出项目类别划分：基本支出</w:t>
      </w:r>
      <w:r>
        <w:rPr>
          <w:rFonts w:hint="eastAsia"/>
          <w:spacing w:val="0"/>
          <w:w w:val="100"/>
          <w:position w:val="0"/>
          <w:sz w:val="32"/>
          <w:szCs w:val="32"/>
          <w:lang w:val="en-US" w:eastAsia="zh-CN"/>
        </w:rPr>
        <w:t>829.74</w:t>
      </w:r>
      <w:r>
        <w:rPr>
          <w:spacing w:val="0"/>
          <w:w w:val="100"/>
          <w:position w:val="0"/>
          <w:sz w:val="32"/>
          <w:szCs w:val="32"/>
        </w:rPr>
        <w:t>万元,较上年预算安排增加</w:t>
      </w:r>
      <w:r>
        <w:rPr>
          <w:rFonts w:hint="eastAsia"/>
          <w:spacing w:val="0"/>
          <w:w w:val="100"/>
          <w:position w:val="0"/>
          <w:sz w:val="32"/>
          <w:szCs w:val="32"/>
          <w:lang w:val="en-US" w:eastAsia="zh-CN"/>
        </w:rPr>
        <w:t>391.81</w:t>
      </w:r>
      <w:r>
        <w:rPr>
          <w:spacing w:val="0"/>
          <w:w w:val="100"/>
          <w:position w:val="0"/>
          <w:sz w:val="32"/>
          <w:szCs w:val="32"/>
        </w:rPr>
        <w:t>万元;其中：工资福利支出</w:t>
      </w:r>
      <w:r>
        <w:rPr>
          <w:rFonts w:hint="eastAsia"/>
          <w:spacing w:val="0"/>
          <w:w w:val="100"/>
          <w:position w:val="0"/>
          <w:sz w:val="32"/>
          <w:szCs w:val="32"/>
          <w:lang w:val="en-US" w:eastAsia="zh-CN"/>
        </w:rPr>
        <w:t>786.66</w:t>
      </w:r>
      <w:r>
        <w:rPr>
          <w:spacing w:val="0"/>
          <w:w w:val="100"/>
          <w:position w:val="0"/>
          <w:sz w:val="32"/>
          <w:szCs w:val="32"/>
        </w:rPr>
        <w:t>万元,商品和服务支出</w:t>
      </w:r>
      <w:r>
        <w:rPr>
          <w:rFonts w:hint="eastAsia"/>
          <w:spacing w:val="0"/>
          <w:w w:val="100"/>
          <w:position w:val="0"/>
          <w:sz w:val="32"/>
          <w:szCs w:val="32"/>
          <w:lang w:val="en-US" w:eastAsia="zh-CN"/>
        </w:rPr>
        <w:t>34.12</w:t>
      </w:r>
      <w:r>
        <w:rPr>
          <w:spacing w:val="0"/>
          <w:w w:val="100"/>
          <w:position w:val="0"/>
          <w:sz w:val="32"/>
          <w:szCs w:val="32"/>
        </w:rPr>
        <w:t>万元,对个人和家庭的补助</w:t>
      </w:r>
      <w:r>
        <w:rPr>
          <w:rFonts w:hint="eastAsia"/>
          <w:spacing w:val="0"/>
          <w:w w:val="100"/>
          <w:position w:val="0"/>
          <w:sz w:val="32"/>
          <w:szCs w:val="32"/>
          <w:lang w:val="en-US" w:eastAsia="zh-CN"/>
        </w:rPr>
        <w:t>8.96</w:t>
      </w:r>
      <w:r>
        <w:rPr>
          <w:spacing w:val="0"/>
          <w:w w:val="100"/>
          <w:position w:val="0"/>
          <w:sz w:val="32"/>
          <w:szCs w:val="32"/>
        </w:rPr>
        <w:t>万元，资本性支出</w:t>
      </w:r>
      <w:r>
        <w:rPr>
          <w:rFonts w:hint="eastAsia"/>
          <w:spacing w:val="0"/>
          <w:w w:val="100"/>
          <w:position w:val="0"/>
          <w:sz w:val="32"/>
          <w:szCs w:val="32"/>
          <w:lang w:val="en-US" w:eastAsia="zh-CN"/>
        </w:rPr>
        <w:t>0</w:t>
      </w:r>
      <w:r>
        <w:rPr>
          <w:spacing w:val="0"/>
          <w:w w:val="100"/>
          <w:position w:val="0"/>
          <w:sz w:val="32"/>
          <w:szCs w:val="32"/>
        </w:rPr>
        <w:t>万元。项目支出</w:t>
      </w:r>
      <w:r>
        <w:rPr>
          <w:rFonts w:hint="eastAsia"/>
          <w:spacing w:val="0"/>
          <w:w w:val="100"/>
          <w:position w:val="0"/>
          <w:sz w:val="32"/>
          <w:szCs w:val="32"/>
          <w:lang w:val="en-US" w:eastAsia="zh-CN"/>
        </w:rPr>
        <w:t>884.25</w:t>
      </w:r>
      <w:r>
        <w:rPr>
          <w:spacing w:val="0"/>
          <w:w w:val="100"/>
          <w:position w:val="0"/>
          <w:sz w:val="32"/>
          <w:szCs w:val="32"/>
        </w:rPr>
        <w:t>万元,较上年预算安排增加</w:t>
      </w:r>
      <w:r>
        <w:rPr>
          <w:rFonts w:hint="eastAsia"/>
          <w:spacing w:val="0"/>
          <w:w w:val="100"/>
          <w:position w:val="0"/>
          <w:sz w:val="32"/>
          <w:szCs w:val="32"/>
          <w:lang w:val="en-US" w:eastAsia="zh-CN"/>
        </w:rPr>
        <w:t>884.25</w:t>
      </w:r>
      <w:r>
        <w:rPr>
          <w:spacing w:val="0"/>
          <w:w w:val="100"/>
          <w:position w:val="0"/>
          <w:sz w:val="32"/>
          <w:szCs w:val="32"/>
        </w:rPr>
        <w:t>万元;其中：工资福利支出</w:t>
      </w:r>
      <w:r>
        <w:rPr>
          <w:rFonts w:hint="eastAsia"/>
          <w:spacing w:val="0"/>
          <w:w w:val="100"/>
          <w:position w:val="0"/>
          <w:sz w:val="32"/>
          <w:szCs w:val="32"/>
          <w:lang w:val="en-US" w:eastAsia="zh-CN"/>
        </w:rPr>
        <w:t>298.9</w:t>
      </w:r>
      <w:r>
        <w:rPr>
          <w:spacing w:val="0"/>
          <w:w w:val="100"/>
          <w:position w:val="0"/>
          <w:sz w:val="32"/>
          <w:szCs w:val="32"/>
        </w:rPr>
        <w:t>万元,商品和服务支出</w:t>
      </w:r>
      <w:r>
        <w:rPr>
          <w:rFonts w:hint="eastAsia"/>
          <w:spacing w:val="0"/>
          <w:w w:val="100"/>
          <w:position w:val="0"/>
          <w:sz w:val="32"/>
          <w:szCs w:val="32"/>
          <w:lang w:val="en-US" w:eastAsia="zh-CN"/>
        </w:rPr>
        <w:t>38.09</w:t>
      </w:r>
      <w:r>
        <w:rPr>
          <w:spacing w:val="0"/>
          <w:w w:val="100"/>
          <w:position w:val="0"/>
          <w:sz w:val="32"/>
          <w:szCs w:val="32"/>
        </w:rPr>
        <w:t>万元,对个人和家庭的补助</w:t>
      </w:r>
      <w:r>
        <w:rPr>
          <w:rFonts w:hint="eastAsia"/>
          <w:spacing w:val="0"/>
          <w:w w:val="100"/>
          <w:position w:val="0"/>
          <w:sz w:val="32"/>
          <w:szCs w:val="32"/>
          <w:lang w:val="en-US" w:eastAsia="zh-CN"/>
        </w:rPr>
        <w:t>547.26</w:t>
      </w:r>
      <w:r>
        <w:rPr>
          <w:spacing w:val="0"/>
          <w:w w:val="100"/>
          <w:position w:val="0"/>
          <w:sz w:val="32"/>
          <w:szCs w:val="32"/>
        </w:rPr>
        <w:t>万元,债务利息及费用支出</w:t>
      </w:r>
      <w:r>
        <w:rPr>
          <w:rFonts w:hint="eastAsia"/>
          <w:spacing w:val="0"/>
          <w:w w:val="100"/>
          <w:position w:val="0"/>
          <w:sz w:val="32"/>
          <w:szCs w:val="32"/>
          <w:lang w:val="en-US" w:eastAsia="zh-CN"/>
        </w:rPr>
        <w:t>0</w:t>
      </w:r>
      <w:r>
        <w:rPr>
          <w:spacing w:val="0"/>
          <w:w w:val="100"/>
          <w:position w:val="0"/>
          <w:sz w:val="32"/>
          <w:szCs w:val="32"/>
        </w:rPr>
        <w:t>万元，资本性支出（基本建设）</w:t>
      </w:r>
      <w:r>
        <w:rPr>
          <w:rFonts w:hint="eastAsia"/>
          <w:spacing w:val="0"/>
          <w:w w:val="100"/>
          <w:position w:val="0"/>
          <w:sz w:val="32"/>
          <w:szCs w:val="32"/>
          <w:lang w:val="en-US" w:eastAsia="zh-CN"/>
        </w:rPr>
        <w:t>0</w:t>
      </w:r>
      <w:r>
        <w:rPr>
          <w:spacing w:val="0"/>
          <w:w w:val="100"/>
          <w:position w:val="0"/>
          <w:sz w:val="32"/>
          <w:szCs w:val="32"/>
        </w:rPr>
        <w:t>万元,资本性支出</w:t>
      </w:r>
      <w:r>
        <w:rPr>
          <w:rFonts w:hint="eastAsia"/>
          <w:spacing w:val="0"/>
          <w:w w:val="100"/>
          <w:position w:val="0"/>
          <w:sz w:val="32"/>
          <w:szCs w:val="32"/>
          <w:lang w:val="en-US" w:eastAsia="zh-CN"/>
        </w:rPr>
        <w:t>0</w:t>
      </w:r>
      <w:r>
        <w:rPr>
          <w:spacing w:val="0"/>
          <w:w w:val="100"/>
          <w:position w:val="0"/>
          <w:sz w:val="32"/>
          <w:szCs w:val="32"/>
        </w:rPr>
        <w:t>万元，对企业补助</w:t>
      </w:r>
      <w:r>
        <w:rPr>
          <w:rFonts w:hint="eastAsia"/>
          <w:spacing w:val="0"/>
          <w:w w:val="100"/>
          <w:position w:val="0"/>
          <w:sz w:val="32"/>
          <w:szCs w:val="32"/>
          <w:lang w:val="en-US" w:eastAsia="zh-CN"/>
        </w:rPr>
        <w:t>0</w:t>
      </w:r>
      <w:r>
        <w:rPr>
          <w:spacing w:val="0"/>
          <w:w w:val="100"/>
          <w:position w:val="0"/>
          <w:sz w:val="32"/>
          <w:szCs w:val="32"/>
        </w:rPr>
        <w:t>万元，其他支出</w:t>
      </w:r>
      <w:r>
        <w:rPr>
          <w:rFonts w:hint="eastAsia"/>
          <w:spacing w:val="0"/>
          <w:w w:val="100"/>
          <w:position w:val="0"/>
          <w:sz w:val="32"/>
          <w:szCs w:val="32"/>
          <w:lang w:val="en-US" w:eastAsia="zh-CN"/>
        </w:rPr>
        <w:t>0</w:t>
      </w:r>
      <w:r>
        <w:rPr>
          <w:spacing w:val="0"/>
          <w:w w:val="100"/>
          <w:position w:val="0"/>
          <w:sz w:val="32"/>
          <w:szCs w:val="32"/>
        </w:rPr>
        <w:t>万元。</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734"/>
        <w:textAlignment w:val="baseline"/>
        <w:rPr>
          <w:spacing w:val="0"/>
          <w:w w:val="100"/>
          <w:position w:val="0"/>
          <w:sz w:val="32"/>
          <w:szCs w:val="32"/>
        </w:rPr>
      </w:pPr>
      <w:r>
        <w:rPr>
          <w:spacing w:val="0"/>
          <w:w w:val="100"/>
          <w:position w:val="0"/>
          <w:sz w:val="32"/>
          <w:szCs w:val="32"/>
        </w:rPr>
        <w:t>(四)政府性基金情况</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26" w:firstLine="640" w:firstLineChars="200"/>
        <w:textAlignment w:val="baseline"/>
        <w:rPr>
          <w:rFonts w:hint="eastAsia" w:ascii="Arial" w:eastAsia="仿宋"/>
          <w:spacing w:val="0"/>
          <w:w w:val="100"/>
          <w:position w:val="0"/>
          <w:sz w:val="32"/>
          <w:szCs w:val="32"/>
          <w:lang w:eastAsia="zh-CN"/>
        </w:rPr>
      </w:pPr>
      <w:r>
        <w:rPr>
          <w:spacing w:val="0"/>
          <w:w w:val="100"/>
          <w:position w:val="0"/>
          <w:sz w:val="32"/>
          <w:szCs w:val="32"/>
        </w:rPr>
        <w:t>本单位没有使用政府性基金预算拨款安排的支出</w:t>
      </w:r>
      <w:r>
        <w:rPr>
          <w:rFonts w:hint="eastAsia"/>
          <w:spacing w:val="0"/>
          <w:w w:val="100"/>
          <w:position w:val="0"/>
          <w:sz w:val="32"/>
          <w:szCs w:val="32"/>
          <w:lang w:eastAsia="zh-CN"/>
        </w:rPr>
        <w:t>。</w:t>
      </w:r>
    </w:p>
    <w:p>
      <w:pPr>
        <w:pStyle w:val="4"/>
        <w:bidi w:val="0"/>
      </w:pPr>
      <w:r>
        <w:t>(五)国有资本经营情况</w:t>
      </w:r>
    </w:p>
    <w:p>
      <w:pPr>
        <w:pStyle w:val="5"/>
        <w:keepNext w:val="0"/>
        <w:keepLines w:val="0"/>
        <w:pageBreakBefore w:val="0"/>
        <w:widowControl w:val="0"/>
        <w:kinsoku/>
        <w:wordWrap/>
        <w:overflowPunct/>
        <w:topLinePunct w:val="0"/>
        <w:autoSpaceDE/>
        <w:autoSpaceDN/>
        <w:bidi w:val="0"/>
        <w:adjustRightInd w:val="0"/>
        <w:snapToGrid w:val="0"/>
        <w:spacing w:line="560" w:lineRule="exact"/>
        <w:ind w:right="13" w:firstLine="640" w:firstLineChars="200"/>
        <w:jc w:val="left"/>
        <w:textAlignment w:val="baseline"/>
        <w:rPr>
          <w:rFonts w:hint="eastAsia" w:eastAsia="仿宋"/>
          <w:spacing w:val="0"/>
          <w:w w:val="100"/>
          <w:position w:val="0"/>
          <w:sz w:val="32"/>
          <w:szCs w:val="32"/>
          <w:lang w:eastAsia="zh-CN"/>
        </w:rPr>
      </w:pPr>
      <w:r>
        <w:rPr>
          <w:spacing w:val="0"/>
          <w:w w:val="100"/>
          <w:position w:val="0"/>
          <w:sz w:val="32"/>
          <w:szCs w:val="32"/>
        </w:rPr>
        <w:t>本单位没有使用国有资本经营预算拨款安排的支出</w:t>
      </w:r>
      <w:r>
        <w:rPr>
          <w:rFonts w:hint="eastAsia"/>
          <w:spacing w:val="0"/>
          <w:w w:val="100"/>
          <w:position w:val="0"/>
          <w:sz w:val="32"/>
          <w:szCs w:val="32"/>
          <w:lang w:eastAsia="zh-CN"/>
        </w:rPr>
        <w:t>。</w:t>
      </w:r>
    </w:p>
    <w:p>
      <w:pPr>
        <w:pStyle w:val="4"/>
        <w:bidi w:val="0"/>
      </w:pPr>
      <w:r>
        <w:t>(六)机关运行经费等重要事项的说明</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36" w:right="16" w:firstLine="643"/>
        <w:jc w:val="both"/>
        <w:textAlignment w:val="baseline"/>
        <w:rPr>
          <w:spacing w:val="0"/>
          <w:w w:val="100"/>
          <w:position w:val="0"/>
          <w:sz w:val="32"/>
          <w:szCs w:val="32"/>
        </w:rPr>
      </w:pPr>
      <w:r>
        <w:rPr>
          <w:rFonts w:hint="eastAsia"/>
          <w:spacing w:val="0"/>
          <w:w w:val="100"/>
          <w:position w:val="0"/>
          <w:sz w:val="32"/>
          <w:szCs w:val="32"/>
          <w:lang w:val="en-US" w:eastAsia="zh-CN"/>
        </w:rPr>
        <w:t>2024</w:t>
      </w:r>
      <w:r>
        <w:rPr>
          <w:spacing w:val="0"/>
          <w:w w:val="100"/>
          <w:position w:val="0"/>
          <w:sz w:val="32"/>
          <w:szCs w:val="32"/>
        </w:rPr>
        <w:t>年单位机关运行费预算</w:t>
      </w:r>
      <w:r>
        <w:rPr>
          <w:rFonts w:hint="eastAsia"/>
          <w:spacing w:val="0"/>
          <w:w w:val="100"/>
          <w:position w:val="0"/>
          <w:sz w:val="32"/>
          <w:szCs w:val="32"/>
          <w:lang w:val="en-US" w:eastAsia="zh-CN"/>
        </w:rPr>
        <w:t>159.53</w:t>
      </w:r>
      <w:r>
        <w:rPr>
          <w:spacing w:val="0"/>
          <w:w w:val="100"/>
          <w:position w:val="0"/>
          <w:sz w:val="32"/>
          <w:szCs w:val="32"/>
        </w:rPr>
        <w:t>万元，比</w:t>
      </w:r>
      <w:r>
        <w:rPr>
          <w:rFonts w:hint="eastAsia"/>
          <w:spacing w:val="0"/>
          <w:w w:val="100"/>
          <w:position w:val="0"/>
          <w:sz w:val="32"/>
          <w:szCs w:val="32"/>
          <w:lang w:val="en-US" w:eastAsia="zh-CN"/>
        </w:rPr>
        <w:t>2023</w:t>
      </w:r>
      <w:r>
        <w:rPr>
          <w:spacing w:val="0"/>
          <w:w w:val="100"/>
          <w:position w:val="0"/>
          <w:sz w:val="32"/>
          <w:szCs w:val="32"/>
        </w:rPr>
        <w:t>年预算减少</w:t>
      </w:r>
      <w:r>
        <w:rPr>
          <w:rFonts w:hint="eastAsia"/>
          <w:spacing w:val="0"/>
          <w:w w:val="100"/>
          <w:position w:val="0"/>
          <w:sz w:val="32"/>
          <w:szCs w:val="32"/>
          <w:lang w:val="en-US" w:eastAsia="zh-CN"/>
        </w:rPr>
        <w:t>163.65</w:t>
      </w:r>
      <w:r>
        <w:rPr>
          <w:spacing w:val="0"/>
          <w:w w:val="100"/>
          <w:position w:val="0"/>
          <w:sz w:val="32"/>
          <w:szCs w:val="32"/>
        </w:rPr>
        <w:t>万元，下降</w:t>
      </w:r>
      <w:r>
        <w:rPr>
          <w:rFonts w:hint="eastAsia"/>
          <w:spacing w:val="0"/>
          <w:w w:val="100"/>
          <w:position w:val="0"/>
          <w:sz w:val="32"/>
          <w:szCs w:val="32"/>
          <w:lang w:val="en-US" w:eastAsia="zh-CN"/>
        </w:rPr>
        <w:t>50.6</w:t>
      </w:r>
      <w:r>
        <w:rPr>
          <w:spacing w:val="0"/>
          <w:w w:val="100"/>
          <w:position w:val="0"/>
          <w:sz w:val="32"/>
          <w:szCs w:val="32"/>
        </w:rPr>
        <w:t>%，主要原因是</w:t>
      </w:r>
      <w:r>
        <w:rPr>
          <w:rFonts w:hint="eastAsia"/>
          <w:spacing w:val="0"/>
          <w:w w:val="100"/>
          <w:position w:val="0"/>
          <w:sz w:val="32"/>
          <w:szCs w:val="32"/>
          <w:lang w:val="en-US" w:eastAsia="zh-CN"/>
        </w:rPr>
        <w:t>特定目标类工作经费减少</w:t>
      </w:r>
      <w:r>
        <w:rPr>
          <w:spacing w:val="0"/>
          <w:w w:val="100"/>
          <w:position w:val="0"/>
          <w:sz w:val="32"/>
          <w:szCs w:val="32"/>
        </w:rPr>
        <w:t>。</w:t>
      </w:r>
    </w:p>
    <w:p>
      <w:pPr>
        <w:pStyle w:val="4"/>
        <w:bidi w:val="0"/>
      </w:pPr>
      <w:r>
        <w:t>(七)政府采购情况</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29" w:right="15" w:firstLine="655"/>
        <w:jc w:val="both"/>
        <w:textAlignment w:val="baseline"/>
        <w:rPr>
          <w:spacing w:val="0"/>
          <w:w w:val="100"/>
          <w:position w:val="0"/>
          <w:sz w:val="32"/>
          <w:szCs w:val="32"/>
        </w:rPr>
      </w:pPr>
      <w:r>
        <w:rPr>
          <w:rFonts w:hint="eastAsia"/>
          <w:spacing w:val="0"/>
          <w:w w:val="100"/>
          <w:position w:val="0"/>
          <w:sz w:val="32"/>
          <w:szCs w:val="32"/>
          <w:lang w:val="en-US" w:eastAsia="zh-CN"/>
        </w:rPr>
        <w:t>2024</w:t>
      </w:r>
      <w:r>
        <w:rPr>
          <w:spacing w:val="0"/>
          <w:w w:val="100"/>
          <w:position w:val="0"/>
          <w:sz w:val="32"/>
          <w:szCs w:val="32"/>
        </w:rPr>
        <w:t>年</w:t>
      </w:r>
      <w:r>
        <w:rPr>
          <w:rFonts w:hint="eastAsia"/>
          <w:spacing w:val="0"/>
          <w:w w:val="100"/>
          <w:position w:val="0"/>
          <w:sz w:val="32"/>
          <w:szCs w:val="32"/>
          <w:lang w:val="en-US" w:eastAsia="zh-CN"/>
        </w:rPr>
        <w:t>东湖区董家窑街道办事处</w:t>
      </w:r>
      <w:r>
        <w:rPr>
          <w:spacing w:val="0"/>
          <w:w w:val="100"/>
          <w:position w:val="0"/>
          <w:sz w:val="32"/>
          <w:szCs w:val="32"/>
        </w:rPr>
        <w:t>政府采购总额</w:t>
      </w:r>
      <w:r>
        <w:rPr>
          <w:rFonts w:hint="eastAsia"/>
          <w:spacing w:val="0"/>
          <w:w w:val="100"/>
          <w:position w:val="0"/>
          <w:sz w:val="32"/>
          <w:szCs w:val="32"/>
          <w:lang w:val="en-US" w:eastAsia="zh-CN"/>
        </w:rPr>
        <w:t>0</w:t>
      </w:r>
      <w:r>
        <w:rPr>
          <w:spacing w:val="0"/>
          <w:w w:val="100"/>
          <w:position w:val="0"/>
          <w:sz w:val="32"/>
          <w:szCs w:val="32"/>
        </w:rPr>
        <w:t>万元,其中: 政府采购货物预算</w:t>
      </w:r>
      <w:r>
        <w:rPr>
          <w:rFonts w:hint="eastAsia"/>
          <w:spacing w:val="0"/>
          <w:w w:val="100"/>
          <w:position w:val="0"/>
          <w:sz w:val="32"/>
          <w:szCs w:val="32"/>
          <w:lang w:val="en-US" w:eastAsia="zh-CN"/>
        </w:rPr>
        <w:t>0</w:t>
      </w:r>
      <w:r>
        <w:rPr>
          <w:spacing w:val="0"/>
          <w:w w:val="100"/>
          <w:position w:val="0"/>
          <w:sz w:val="32"/>
          <w:szCs w:val="32"/>
        </w:rPr>
        <w:t>万元, 政府采购工程预算</w:t>
      </w:r>
      <w:r>
        <w:rPr>
          <w:rFonts w:hint="eastAsia"/>
          <w:spacing w:val="0"/>
          <w:w w:val="100"/>
          <w:position w:val="0"/>
          <w:sz w:val="32"/>
          <w:szCs w:val="32"/>
          <w:lang w:val="en-US" w:eastAsia="zh-CN"/>
        </w:rPr>
        <w:t>0</w:t>
      </w:r>
      <w:r>
        <w:rPr>
          <w:spacing w:val="0"/>
          <w:w w:val="100"/>
          <w:position w:val="0"/>
          <w:sz w:val="32"/>
          <w:szCs w:val="32"/>
        </w:rPr>
        <w:t>万元,</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32"/>
        <w:jc w:val="both"/>
        <w:textAlignment w:val="baseline"/>
        <w:rPr>
          <w:spacing w:val="0"/>
          <w:w w:val="100"/>
          <w:position w:val="0"/>
          <w:sz w:val="32"/>
          <w:szCs w:val="32"/>
        </w:rPr>
      </w:pPr>
      <w:r>
        <w:rPr>
          <w:spacing w:val="0"/>
          <w:w w:val="100"/>
          <w:position w:val="0"/>
          <w:sz w:val="32"/>
          <w:szCs w:val="32"/>
        </w:rPr>
        <w:t>政府采购服务预算</w:t>
      </w:r>
      <w:r>
        <w:rPr>
          <w:rFonts w:hint="eastAsia"/>
          <w:spacing w:val="0"/>
          <w:w w:val="100"/>
          <w:position w:val="0"/>
          <w:sz w:val="32"/>
          <w:szCs w:val="32"/>
          <w:lang w:val="en-US" w:eastAsia="zh-CN"/>
        </w:rPr>
        <w:t>0</w:t>
      </w:r>
      <w:r>
        <w:rPr>
          <w:spacing w:val="0"/>
          <w:w w:val="100"/>
          <w:position w:val="0"/>
          <w:sz w:val="32"/>
          <w:szCs w:val="32"/>
        </w:rPr>
        <w:t>万元。</w:t>
      </w:r>
    </w:p>
    <w:p>
      <w:pPr>
        <w:pStyle w:val="4"/>
        <w:bidi w:val="0"/>
      </w:pPr>
      <w:r>
        <w:t>(八)国有资产占有使用情况</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17" w:firstLine="640" w:firstLineChars="200"/>
        <w:jc w:val="both"/>
        <w:textAlignment w:val="baseline"/>
        <w:rPr>
          <w:spacing w:val="0"/>
          <w:w w:val="100"/>
          <w:position w:val="0"/>
          <w:sz w:val="32"/>
          <w:szCs w:val="32"/>
        </w:rPr>
      </w:pPr>
      <w:r>
        <w:rPr>
          <w:spacing w:val="0"/>
          <w:w w:val="100"/>
          <w:position w:val="0"/>
          <w:sz w:val="32"/>
          <w:szCs w:val="32"/>
        </w:rPr>
        <w:t>截至</w:t>
      </w:r>
      <w:r>
        <w:rPr>
          <w:rFonts w:hint="eastAsia"/>
          <w:spacing w:val="0"/>
          <w:w w:val="100"/>
          <w:position w:val="0"/>
          <w:sz w:val="32"/>
          <w:szCs w:val="32"/>
          <w:lang w:val="en-US" w:eastAsia="zh-CN"/>
        </w:rPr>
        <w:t>2023</w:t>
      </w:r>
      <w:r>
        <w:rPr>
          <w:spacing w:val="0"/>
          <w:w w:val="100"/>
          <w:position w:val="0"/>
          <w:sz w:val="32"/>
          <w:szCs w:val="32"/>
        </w:rPr>
        <w:t>年7月31日,单位共有车辆</w:t>
      </w:r>
      <w:r>
        <w:rPr>
          <w:rFonts w:hint="eastAsia"/>
          <w:spacing w:val="0"/>
          <w:w w:val="100"/>
          <w:position w:val="0"/>
          <w:sz w:val="32"/>
          <w:szCs w:val="32"/>
          <w:lang w:val="en-US" w:eastAsia="zh-CN"/>
        </w:rPr>
        <w:t>0</w:t>
      </w:r>
      <w:r>
        <w:rPr>
          <w:spacing w:val="0"/>
          <w:w w:val="100"/>
          <w:position w:val="0"/>
          <w:sz w:val="32"/>
          <w:szCs w:val="32"/>
        </w:rPr>
        <w:t>辆,其中：一般公务用车实有数</w:t>
      </w:r>
      <w:r>
        <w:rPr>
          <w:rFonts w:hint="eastAsia"/>
          <w:spacing w:val="0"/>
          <w:w w:val="100"/>
          <w:position w:val="0"/>
          <w:sz w:val="32"/>
          <w:szCs w:val="32"/>
          <w:lang w:val="en-US" w:eastAsia="zh-CN"/>
        </w:rPr>
        <w:t>0</w:t>
      </w:r>
      <w:r>
        <w:rPr>
          <w:spacing w:val="0"/>
          <w:w w:val="100"/>
          <w:position w:val="0"/>
          <w:sz w:val="32"/>
          <w:szCs w:val="32"/>
        </w:rPr>
        <w:t>辆。</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17" w:firstLine="640" w:firstLineChars="200"/>
        <w:jc w:val="both"/>
        <w:textAlignment w:val="baseline"/>
        <w:rPr>
          <w:spacing w:val="0"/>
          <w:w w:val="100"/>
          <w:position w:val="0"/>
          <w:sz w:val="32"/>
          <w:szCs w:val="32"/>
        </w:rPr>
      </w:pPr>
      <w:r>
        <w:rPr>
          <w:spacing w:val="0"/>
          <w:w w:val="100"/>
          <w:position w:val="0"/>
          <w:sz w:val="32"/>
          <w:szCs w:val="32"/>
        </w:rPr>
        <w:t>202</w:t>
      </w:r>
      <w:r>
        <w:rPr>
          <w:rFonts w:hint="eastAsia"/>
          <w:spacing w:val="0"/>
          <w:w w:val="100"/>
          <w:position w:val="0"/>
          <w:sz w:val="32"/>
          <w:szCs w:val="32"/>
          <w:lang w:val="en-US" w:eastAsia="zh-CN"/>
        </w:rPr>
        <w:t>4</w:t>
      </w:r>
      <w:r>
        <w:rPr>
          <w:spacing w:val="0"/>
          <w:w w:val="100"/>
          <w:position w:val="0"/>
          <w:sz w:val="32"/>
          <w:szCs w:val="32"/>
        </w:rPr>
        <w:t>年单位预算安排购置车辆</w:t>
      </w:r>
      <w:r>
        <w:rPr>
          <w:rFonts w:hint="eastAsia"/>
          <w:spacing w:val="0"/>
          <w:w w:val="100"/>
          <w:position w:val="0"/>
          <w:sz w:val="32"/>
          <w:szCs w:val="32"/>
          <w:lang w:val="en-US" w:eastAsia="zh-CN"/>
        </w:rPr>
        <w:t>0</w:t>
      </w:r>
      <w:r>
        <w:rPr>
          <w:spacing w:val="0"/>
          <w:w w:val="100"/>
          <w:position w:val="0"/>
          <w:sz w:val="32"/>
          <w:szCs w:val="32"/>
        </w:rPr>
        <w:t>辆，</w:t>
      </w:r>
      <w:r>
        <w:rPr>
          <w:rFonts w:hint="eastAsia"/>
          <w:spacing w:val="0"/>
          <w:w w:val="100"/>
          <w:position w:val="0"/>
          <w:sz w:val="32"/>
          <w:szCs w:val="32"/>
          <w:lang w:val="en-US" w:eastAsia="zh-CN"/>
        </w:rPr>
        <w:t>无</w:t>
      </w:r>
      <w:r>
        <w:rPr>
          <w:spacing w:val="0"/>
          <w:w w:val="100"/>
          <w:position w:val="0"/>
          <w:sz w:val="32"/>
          <w:szCs w:val="32"/>
        </w:rPr>
        <w:t>安排购置单位价值200万元以上大型设备。</w:t>
      </w:r>
    </w:p>
    <w:p>
      <w:pPr>
        <w:pStyle w:val="4"/>
        <w:bidi w:val="0"/>
      </w:pPr>
      <w:r>
        <w:t>（九）项目情况说明</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654"/>
        <w:textAlignment w:val="baseline"/>
        <w:rPr>
          <w:rFonts w:hint="eastAsia" w:eastAsia="仿宋"/>
          <w:spacing w:val="0"/>
          <w:w w:val="100"/>
          <w:position w:val="0"/>
          <w:sz w:val="32"/>
          <w:szCs w:val="32"/>
          <w:lang w:eastAsia="zh-CN"/>
        </w:rPr>
      </w:pPr>
      <w:r>
        <w:rPr>
          <w:spacing w:val="0"/>
          <w:w w:val="100"/>
          <w:position w:val="0"/>
          <w:sz w:val="32"/>
          <w:szCs w:val="32"/>
        </w:rPr>
        <w:t>本单位本年度未安排项目</w:t>
      </w:r>
      <w:r>
        <w:rPr>
          <w:rFonts w:hint="eastAsia"/>
          <w:spacing w:val="0"/>
          <w:w w:val="100"/>
          <w:position w:val="0"/>
          <w:sz w:val="32"/>
          <w:szCs w:val="32"/>
          <w:lang w:eastAsia="zh-CN"/>
        </w:rPr>
        <w:t>。</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baseline"/>
        <w:rPr>
          <w:rFonts w:hint="eastAsia" w:ascii="黑体" w:hAnsi="黑体" w:eastAsia="黑体" w:cs="黑体"/>
          <w:spacing w:val="0"/>
          <w:w w:val="100"/>
          <w:position w:val="0"/>
          <w:sz w:val="32"/>
          <w:szCs w:val="32"/>
        </w:rPr>
      </w:pPr>
      <w:r>
        <w:rPr>
          <w:rFonts w:hint="eastAsia" w:ascii="黑体" w:hAnsi="黑体" w:eastAsia="黑体" w:cs="黑体"/>
          <w:spacing w:val="0"/>
          <w:w w:val="100"/>
          <w:position w:val="0"/>
          <w:sz w:val="32"/>
          <w:szCs w:val="32"/>
        </w:rPr>
        <w:t>二、</w:t>
      </w:r>
      <w:r>
        <w:rPr>
          <w:rFonts w:hint="eastAsia" w:ascii="黑体" w:hAnsi="黑体" w:eastAsia="黑体" w:cs="黑体"/>
          <w:spacing w:val="0"/>
          <w:w w:val="100"/>
          <w:position w:val="0"/>
          <w:sz w:val="32"/>
          <w:szCs w:val="32"/>
          <w:lang w:val="en-US" w:eastAsia="zh-CN"/>
        </w:rPr>
        <w:t>2024</w:t>
      </w:r>
      <w:r>
        <w:rPr>
          <w:rFonts w:hint="eastAsia" w:ascii="黑体" w:hAnsi="黑体" w:eastAsia="黑体" w:cs="黑体"/>
          <w:spacing w:val="0"/>
          <w:w w:val="100"/>
          <w:position w:val="0"/>
          <w:sz w:val="32"/>
          <w:szCs w:val="32"/>
        </w:rPr>
        <w:t>年“三公</w:t>
      </w:r>
      <w:r>
        <w:rPr>
          <w:rFonts w:hint="eastAsia" w:ascii="黑体" w:hAnsi="黑体" w:eastAsia="黑体" w:cs="黑体"/>
          <w:b w:val="0"/>
          <w:bCs w:val="0"/>
          <w:spacing w:val="0"/>
          <w:w w:val="100"/>
          <w:position w:val="0"/>
          <w:sz w:val="32"/>
          <w:szCs w:val="32"/>
        </w:rPr>
        <w:t>”</w:t>
      </w:r>
      <w:r>
        <w:rPr>
          <w:rFonts w:hint="eastAsia" w:ascii="黑体" w:hAnsi="黑体" w:eastAsia="黑体" w:cs="黑体"/>
          <w:spacing w:val="0"/>
          <w:w w:val="100"/>
          <w:position w:val="0"/>
          <w:sz w:val="32"/>
          <w:szCs w:val="32"/>
        </w:rPr>
        <w:t>经费预算情况说明</w:t>
      </w:r>
    </w:p>
    <w:p>
      <w:pPr>
        <w:pStyle w:val="5"/>
        <w:keepNext w:val="0"/>
        <w:keepLines w:val="0"/>
        <w:pageBreakBefore w:val="0"/>
        <w:widowControl w:val="0"/>
        <w:kinsoku/>
        <w:wordWrap/>
        <w:overflowPunct/>
        <w:topLinePunct w:val="0"/>
        <w:autoSpaceDE/>
        <w:autoSpaceDN/>
        <w:bidi w:val="0"/>
        <w:adjustRightInd w:val="0"/>
        <w:snapToGrid w:val="0"/>
        <w:spacing w:line="540" w:lineRule="exact"/>
        <w:ind w:right="16" w:firstLine="640" w:firstLineChars="200"/>
        <w:jc w:val="left"/>
        <w:textAlignment w:val="baseline"/>
        <w:rPr>
          <w:spacing w:val="0"/>
          <w:w w:val="100"/>
          <w:position w:val="0"/>
          <w:sz w:val="32"/>
          <w:szCs w:val="32"/>
        </w:rPr>
      </w:pPr>
      <w:r>
        <w:rPr>
          <w:rFonts w:hint="eastAsia"/>
          <w:spacing w:val="0"/>
          <w:w w:val="100"/>
          <w:position w:val="0"/>
          <w:sz w:val="32"/>
          <w:szCs w:val="32"/>
          <w:lang w:val="en-US" w:eastAsia="zh-CN"/>
        </w:rPr>
        <w:t>2024</w:t>
      </w:r>
      <w:r>
        <w:rPr>
          <w:spacing w:val="0"/>
          <w:w w:val="100"/>
          <w:position w:val="0"/>
          <w:sz w:val="32"/>
          <w:szCs w:val="32"/>
        </w:rPr>
        <w:t>年</w:t>
      </w:r>
      <w:r>
        <w:rPr>
          <w:rFonts w:hint="eastAsia"/>
          <w:spacing w:val="0"/>
          <w:w w:val="100"/>
          <w:position w:val="0"/>
          <w:sz w:val="32"/>
          <w:szCs w:val="32"/>
          <w:lang w:val="en-US" w:eastAsia="zh-CN"/>
        </w:rPr>
        <w:t>东湖区董家窑街道办事处单位</w:t>
      </w:r>
      <w:r>
        <w:rPr>
          <w:rFonts w:hint="eastAsia"/>
          <w:spacing w:val="0"/>
          <w:w w:val="100"/>
          <w:position w:val="0"/>
          <w:sz w:val="32"/>
          <w:szCs w:val="32"/>
          <w:lang w:eastAsia="zh-CN"/>
        </w:rPr>
        <w:t>“</w:t>
      </w:r>
      <w:r>
        <w:rPr>
          <w:spacing w:val="0"/>
          <w:w w:val="100"/>
          <w:position w:val="0"/>
          <w:sz w:val="32"/>
          <w:szCs w:val="32"/>
        </w:rPr>
        <w:t>三公</w:t>
      </w:r>
      <w:r>
        <w:rPr>
          <w:rFonts w:hint="eastAsia"/>
          <w:spacing w:val="0"/>
          <w:w w:val="100"/>
          <w:position w:val="0"/>
          <w:sz w:val="32"/>
          <w:szCs w:val="32"/>
          <w:lang w:eastAsia="zh-CN"/>
        </w:rPr>
        <w:t>”</w:t>
      </w:r>
      <w:r>
        <w:rPr>
          <w:spacing w:val="0"/>
          <w:w w:val="100"/>
          <w:position w:val="0"/>
          <w:sz w:val="32"/>
          <w:szCs w:val="32"/>
        </w:rPr>
        <w:t>经费财政拨款安排</w:t>
      </w:r>
      <w:r>
        <w:rPr>
          <w:rFonts w:hint="eastAsia"/>
          <w:spacing w:val="0"/>
          <w:w w:val="100"/>
          <w:position w:val="0"/>
          <w:sz w:val="32"/>
          <w:szCs w:val="32"/>
          <w:lang w:val="en-US" w:eastAsia="zh-CN"/>
        </w:rPr>
        <w:t>0</w:t>
      </w:r>
      <w:r>
        <w:rPr>
          <w:spacing w:val="0"/>
          <w:w w:val="100"/>
          <w:position w:val="0"/>
          <w:sz w:val="32"/>
          <w:szCs w:val="32"/>
        </w:rPr>
        <w:t>万元，其中：因公出国（境）费</w:t>
      </w:r>
      <w:r>
        <w:rPr>
          <w:rFonts w:hint="eastAsia"/>
          <w:spacing w:val="0"/>
          <w:w w:val="100"/>
          <w:position w:val="0"/>
          <w:sz w:val="32"/>
          <w:szCs w:val="32"/>
          <w:lang w:val="en-US" w:eastAsia="zh-CN"/>
        </w:rPr>
        <w:t>0</w:t>
      </w:r>
      <w:r>
        <w:rPr>
          <w:spacing w:val="0"/>
          <w:w w:val="100"/>
          <w:position w:val="0"/>
          <w:sz w:val="32"/>
          <w:szCs w:val="32"/>
        </w:rPr>
        <w:t>万元,比上年增（减）</w:t>
      </w:r>
      <w:r>
        <w:rPr>
          <w:rFonts w:hint="eastAsia"/>
          <w:spacing w:val="0"/>
          <w:w w:val="100"/>
          <w:position w:val="0"/>
          <w:sz w:val="32"/>
          <w:szCs w:val="32"/>
          <w:lang w:val="en-US" w:eastAsia="zh-CN"/>
        </w:rPr>
        <w:t>0</w:t>
      </w:r>
      <w:r>
        <w:rPr>
          <w:spacing w:val="0"/>
          <w:w w:val="100"/>
          <w:position w:val="0"/>
          <w:sz w:val="32"/>
          <w:szCs w:val="32"/>
        </w:rPr>
        <w:t>万元，主要原因是</w:t>
      </w:r>
      <w:r>
        <w:rPr>
          <w:rFonts w:hint="eastAsia"/>
          <w:spacing w:val="0"/>
          <w:w w:val="100"/>
          <w:position w:val="0"/>
          <w:sz w:val="32"/>
          <w:szCs w:val="32"/>
          <w:lang w:eastAsia="zh-CN"/>
        </w:rPr>
        <w:t>：</w:t>
      </w:r>
      <w:r>
        <w:rPr>
          <w:spacing w:val="0"/>
          <w:w w:val="100"/>
          <w:position w:val="0"/>
          <w:sz w:val="32"/>
          <w:szCs w:val="32"/>
        </w:rPr>
        <w:t>与上年安排保持一致。</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0" w:firstLine="640" w:firstLineChars="200"/>
        <w:jc w:val="both"/>
        <w:textAlignment w:val="baseline"/>
        <w:rPr>
          <w:rFonts w:hint="eastAsia" w:eastAsia="仿宋"/>
          <w:spacing w:val="0"/>
          <w:w w:val="100"/>
          <w:position w:val="0"/>
          <w:sz w:val="32"/>
          <w:szCs w:val="32"/>
          <w:lang w:eastAsia="zh-CN"/>
        </w:rPr>
      </w:pPr>
      <w:r>
        <w:rPr>
          <w:spacing w:val="0"/>
          <w:w w:val="100"/>
          <w:position w:val="0"/>
          <w:sz w:val="32"/>
          <w:szCs w:val="32"/>
        </w:rPr>
        <w:t>公务接待费</w:t>
      </w:r>
      <w:r>
        <w:rPr>
          <w:rFonts w:hint="eastAsia"/>
          <w:spacing w:val="0"/>
          <w:w w:val="100"/>
          <w:position w:val="0"/>
          <w:sz w:val="32"/>
          <w:szCs w:val="32"/>
          <w:lang w:val="en-US" w:eastAsia="zh-CN"/>
        </w:rPr>
        <w:t>0</w:t>
      </w:r>
      <w:r>
        <w:rPr>
          <w:spacing w:val="0"/>
          <w:w w:val="100"/>
          <w:position w:val="0"/>
          <w:sz w:val="32"/>
          <w:szCs w:val="32"/>
        </w:rPr>
        <w:t>万元,比上年增（减）</w:t>
      </w:r>
      <w:r>
        <w:rPr>
          <w:rFonts w:hint="eastAsia"/>
          <w:spacing w:val="0"/>
          <w:w w:val="100"/>
          <w:position w:val="0"/>
          <w:sz w:val="32"/>
          <w:szCs w:val="32"/>
          <w:lang w:val="en-US" w:eastAsia="zh-CN"/>
        </w:rPr>
        <w:t>0</w:t>
      </w:r>
      <w:r>
        <w:rPr>
          <w:spacing w:val="0"/>
          <w:w w:val="100"/>
          <w:position w:val="0"/>
          <w:sz w:val="32"/>
          <w:szCs w:val="32"/>
        </w:rPr>
        <w:t>万元，主要原因是</w:t>
      </w:r>
      <w:r>
        <w:rPr>
          <w:rFonts w:hint="eastAsia"/>
          <w:spacing w:val="0"/>
          <w:w w:val="100"/>
          <w:position w:val="0"/>
          <w:sz w:val="32"/>
          <w:szCs w:val="32"/>
          <w:lang w:eastAsia="zh-CN"/>
        </w:rPr>
        <w:t>：</w:t>
      </w:r>
      <w:r>
        <w:rPr>
          <w:spacing w:val="0"/>
          <w:w w:val="100"/>
          <w:position w:val="0"/>
          <w:sz w:val="32"/>
          <w:szCs w:val="32"/>
        </w:rPr>
        <w:t>与上年安排保持一致</w:t>
      </w:r>
      <w:r>
        <w:rPr>
          <w:rFonts w:hint="eastAsia"/>
          <w:spacing w:val="0"/>
          <w:w w:val="100"/>
          <w:position w:val="0"/>
          <w:sz w:val="32"/>
          <w:szCs w:val="32"/>
          <w:lang w:eastAsia="zh-CN"/>
        </w:rPr>
        <w:t>。</w:t>
      </w:r>
    </w:p>
    <w:p>
      <w:pPr>
        <w:pStyle w:val="5"/>
        <w:keepNext w:val="0"/>
        <w:keepLines w:val="0"/>
        <w:pageBreakBefore w:val="0"/>
        <w:widowControl w:val="0"/>
        <w:kinsoku/>
        <w:wordWrap/>
        <w:overflowPunct/>
        <w:topLinePunct w:val="0"/>
        <w:autoSpaceDE/>
        <w:autoSpaceDN/>
        <w:bidi w:val="0"/>
        <w:adjustRightInd w:val="0"/>
        <w:snapToGrid w:val="0"/>
        <w:spacing w:line="540" w:lineRule="exact"/>
        <w:ind w:left="0" w:firstLine="640" w:firstLineChars="200"/>
        <w:jc w:val="both"/>
        <w:textAlignment w:val="baseline"/>
        <w:rPr>
          <w:spacing w:val="0"/>
          <w:w w:val="100"/>
          <w:position w:val="0"/>
          <w:sz w:val="32"/>
          <w:szCs w:val="32"/>
        </w:rPr>
      </w:pPr>
      <w:r>
        <w:rPr>
          <w:spacing w:val="0"/>
          <w:w w:val="100"/>
          <w:position w:val="0"/>
          <w:sz w:val="32"/>
          <w:szCs w:val="32"/>
        </w:rPr>
        <w:t>公务用车运行维护费</w:t>
      </w:r>
      <w:r>
        <w:rPr>
          <w:rFonts w:hint="eastAsia"/>
          <w:spacing w:val="0"/>
          <w:w w:val="100"/>
          <w:position w:val="0"/>
          <w:sz w:val="32"/>
          <w:szCs w:val="32"/>
          <w:lang w:val="en-US" w:eastAsia="zh-CN"/>
        </w:rPr>
        <w:t>0</w:t>
      </w:r>
      <w:r>
        <w:rPr>
          <w:spacing w:val="0"/>
          <w:w w:val="100"/>
          <w:position w:val="0"/>
          <w:sz w:val="32"/>
          <w:szCs w:val="32"/>
        </w:rPr>
        <w:t>万元,比上年增（减）</w:t>
      </w:r>
      <w:r>
        <w:rPr>
          <w:rFonts w:hint="eastAsia"/>
          <w:spacing w:val="0"/>
          <w:w w:val="100"/>
          <w:position w:val="0"/>
          <w:sz w:val="32"/>
          <w:szCs w:val="32"/>
          <w:lang w:val="en-US" w:eastAsia="zh-CN"/>
        </w:rPr>
        <w:t>0</w:t>
      </w:r>
      <w:r>
        <w:rPr>
          <w:spacing w:val="0"/>
          <w:w w:val="100"/>
          <w:position w:val="0"/>
          <w:sz w:val="32"/>
          <w:szCs w:val="32"/>
        </w:rPr>
        <w:t>万元，主要原因是</w:t>
      </w:r>
      <w:r>
        <w:rPr>
          <w:rFonts w:hint="eastAsia"/>
          <w:spacing w:val="0"/>
          <w:w w:val="100"/>
          <w:position w:val="0"/>
          <w:sz w:val="32"/>
          <w:szCs w:val="32"/>
          <w:lang w:eastAsia="zh-CN"/>
        </w:rPr>
        <w:t>：</w:t>
      </w:r>
      <w:r>
        <w:rPr>
          <w:spacing w:val="0"/>
          <w:w w:val="100"/>
          <w:position w:val="0"/>
          <w:sz w:val="32"/>
          <w:szCs w:val="32"/>
        </w:rPr>
        <w:t>与上年安排保持一致。</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baseline"/>
        <w:rPr>
          <w:spacing w:val="0"/>
          <w:w w:val="100"/>
          <w:position w:val="0"/>
          <w:sz w:val="32"/>
          <w:szCs w:val="32"/>
        </w:rPr>
      </w:pPr>
      <w:r>
        <w:rPr>
          <w:spacing w:val="0"/>
          <w:w w:val="100"/>
          <w:position w:val="0"/>
          <w:sz w:val="32"/>
          <w:szCs w:val="32"/>
        </w:rPr>
        <w:t>公务用车购置</w:t>
      </w:r>
      <w:r>
        <w:rPr>
          <w:rFonts w:hint="eastAsia"/>
          <w:spacing w:val="0"/>
          <w:w w:val="100"/>
          <w:position w:val="0"/>
          <w:sz w:val="32"/>
          <w:szCs w:val="32"/>
          <w:lang w:val="en-US" w:eastAsia="zh-CN"/>
        </w:rPr>
        <w:t>0</w:t>
      </w:r>
      <w:r>
        <w:rPr>
          <w:spacing w:val="0"/>
          <w:w w:val="100"/>
          <w:position w:val="0"/>
          <w:sz w:val="32"/>
          <w:szCs w:val="32"/>
        </w:rPr>
        <w:t>万元,比上年增（减）</w:t>
      </w:r>
      <w:r>
        <w:rPr>
          <w:rFonts w:hint="eastAsia"/>
          <w:spacing w:val="0"/>
          <w:w w:val="100"/>
          <w:position w:val="0"/>
          <w:sz w:val="32"/>
          <w:szCs w:val="32"/>
          <w:lang w:val="en-US" w:eastAsia="zh-CN"/>
        </w:rPr>
        <w:t>0</w:t>
      </w:r>
      <w:r>
        <w:rPr>
          <w:spacing w:val="0"/>
          <w:w w:val="100"/>
          <w:position w:val="0"/>
          <w:sz w:val="32"/>
          <w:szCs w:val="32"/>
        </w:rPr>
        <w:t>万元，主要原因是</w:t>
      </w:r>
      <w:r>
        <w:rPr>
          <w:rFonts w:hint="eastAsia"/>
          <w:spacing w:val="0"/>
          <w:w w:val="100"/>
          <w:position w:val="0"/>
          <w:sz w:val="32"/>
          <w:szCs w:val="32"/>
          <w:lang w:eastAsia="zh-CN"/>
        </w:rPr>
        <w:t>：</w:t>
      </w:r>
      <w:r>
        <w:rPr>
          <w:spacing w:val="0"/>
          <w:w w:val="100"/>
          <w:position w:val="0"/>
          <w:sz w:val="32"/>
          <w:szCs w:val="32"/>
        </w:rPr>
        <w:t>与上年安排保持一致</w:t>
      </w:r>
      <w:r>
        <w:rPr>
          <w:rFonts w:hint="eastAsia"/>
          <w:spacing w:val="0"/>
          <w:w w:val="100"/>
          <w:position w:val="0"/>
          <w:sz w:val="32"/>
          <w:szCs w:val="32"/>
          <w:lang w:eastAsia="zh-CN"/>
        </w:rPr>
        <w:t>。</w:t>
      </w:r>
    </w:p>
    <w:p>
      <w:pPr>
        <w:pStyle w:val="2"/>
        <w:bidi w:val="0"/>
      </w:pPr>
      <w:r>
        <w:t>第四部分   名词解释</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845"/>
        <w:textAlignment w:val="baseline"/>
        <w:rPr>
          <w:rFonts w:hint="eastAsia" w:ascii="黑体" w:hAnsi="黑体" w:eastAsia="黑体" w:cs="黑体"/>
          <w:spacing w:val="0"/>
          <w:w w:val="100"/>
          <w:position w:val="0"/>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rFonts w:hint="eastAsia" w:ascii="黑体" w:hAnsi="黑体" w:eastAsia="黑体" w:cs="黑体"/>
          <w:spacing w:val="0"/>
          <w:w w:val="100"/>
          <w:position w:val="0"/>
          <w:sz w:val="32"/>
          <w:szCs w:val="32"/>
        </w:rPr>
      </w:pPr>
      <w:r>
        <w:rPr>
          <w:rFonts w:hint="eastAsia" w:ascii="黑体" w:hAnsi="黑体" w:eastAsia="黑体" w:cs="黑体"/>
          <w:spacing w:val="0"/>
          <w:w w:val="100"/>
          <w:position w:val="0"/>
          <w:sz w:val="32"/>
          <w:szCs w:val="32"/>
        </w:rPr>
        <w:t>一、收入科目</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（一）财政拨款：指省级财政当年拨付的资金。</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（二）教育收费资金收入：反映实行专项管理的高中以上学费、住宿费，高校委托培养费，函大、电大、夜大及短</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训班培训费等教育收费取得的收入。</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（三）事业收入：指事业单位开展专业业务活动及辅助</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活动取得的收入。</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（四）事业单位经营收入：指事业单位在专业业务活动</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及辅助活动之外开展非独立核算经营活动取得的收入。</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（五）附属单位上缴收入：反映事业单位附属的独立核算单位按规定标准或比例缴纳的各项收入。包括附属的事业</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单位上缴的收入和附属的企业上缴的利润等。</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（六）上级补助收入：反映事业单位从主管部门和上级</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单位取得的非财政补助收入。</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（七）其他收入：指除财政拨款、事业收入、事业单位</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经营收入等以外的各项收入。</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（八）使用非财政拨款结余：填列历年滚存的非限定用途的非统计财政拨款结余弥补</w:t>
      </w:r>
      <w:r>
        <w:rPr>
          <w:rFonts w:hint="eastAsia"/>
          <w:spacing w:val="0"/>
          <w:w w:val="100"/>
          <w:position w:val="0"/>
          <w:sz w:val="32"/>
          <w:szCs w:val="32"/>
          <w:lang w:val="en-US" w:eastAsia="zh-CN"/>
        </w:rPr>
        <w:t>本</w:t>
      </w:r>
      <w:r>
        <w:rPr>
          <w:spacing w:val="0"/>
          <w:w w:val="100"/>
          <w:position w:val="0"/>
          <w:sz w:val="32"/>
          <w:szCs w:val="32"/>
        </w:rPr>
        <w:t>年收支差额的数额。</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（九）上年结转和结余：填列</w:t>
      </w:r>
      <w:r>
        <w:rPr>
          <w:rFonts w:hint="eastAsia"/>
          <w:spacing w:val="0"/>
          <w:w w:val="100"/>
          <w:position w:val="0"/>
          <w:sz w:val="32"/>
          <w:szCs w:val="32"/>
          <w:lang w:val="en-US" w:eastAsia="zh-CN"/>
        </w:rPr>
        <w:t>以前</w:t>
      </w:r>
      <w:r>
        <w:rPr>
          <w:spacing w:val="0"/>
          <w:w w:val="100"/>
          <w:position w:val="0"/>
          <w:sz w:val="32"/>
          <w:szCs w:val="32"/>
        </w:rPr>
        <w:t>年全部结转和结余的资金数，包括当年结转结余资金和历年滚存结转结余资金。</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rFonts w:ascii="Arial"/>
          <w:spacing w:val="0"/>
          <w:w w:val="100"/>
          <w:position w:val="0"/>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rFonts w:hint="eastAsia" w:ascii="黑体" w:hAnsi="黑体" w:eastAsia="黑体" w:cs="黑体"/>
          <w:spacing w:val="0"/>
          <w:w w:val="100"/>
          <w:position w:val="0"/>
          <w:sz w:val="32"/>
          <w:szCs w:val="32"/>
        </w:rPr>
      </w:pPr>
      <w:r>
        <w:rPr>
          <w:rFonts w:hint="eastAsia" w:ascii="黑体" w:hAnsi="黑体" w:eastAsia="黑体" w:cs="黑体"/>
          <w:spacing w:val="0"/>
          <w:w w:val="100"/>
          <w:position w:val="0"/>
          <w:sz w:val="32"/>
          <w:szCs w:val="32"/>
        </w:rPr>
        <w:t>二、支出科目</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对部门预算中涉及的支出功能分类科目（明细到项级），结合部门实际，参照《</w:t>
      </w:r>
      <w:r>
        <w:rPr>
          <w:rFonts w:hint="eastAsia"/>
          <w:spacing w:val="0"/>
          <w:w w:val="100"/>
          <w:position w:val="0"/>
          <w:sz w:val="32"/>
          <w:szCs w:val="32"/>
          <w:lang w:val="en-US" w:eastAsia="zh-CN"/>
        </w:rPr>
        <w:t>2024</w:t>
      </w:r>
      <w:r>
        <w:rPr>
          <w:spacing w:val="0"/>
          <w:w w:val="100"/>
          <w:position w:val="0"/>
          <w:sz w:val="32"/>
          <w:szCs w:val="32"/>
        </w:rPr>
        <w:t>年政府收支分类科目》的规范说明进行解释。</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rFonts w:hint="eastAsia" w:ascii="黑体" w:hAnsi="黑体" w:eastAsia="黑体" w:cs="黑体"/>
          <w:spacing w:val="0"/>
          <w:w w:val="100"/>
          <w:position w:val="0"/>
          <w:sz w:val="32"/>
          <w:szCs w:val="32"/>
        </w:rPr>
      </w:pPr>
      <w:r>
        <w:rPr>
          <w:rFonts w:hint="eastAsia" w:ascii="黑体" w:hAnsi="黑体" w:eastAsia="黑体" w:cs="黑体"/>
          <w:spacing w:val="0"/>
          <w:w w:val="100"/>
          <w:position w:val="0"/>
          <w:sz w:val="32"/>
          <w:szCs w:val="32"/>
        </w:rPr>
        <w:t>三、相关专业名词</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一）机关运行费：指用财政拨款安排的为保障行政单位（含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spacing w:val="0"/>
          <w:w w:val="100"/>
          <w:position w:val="0"/>
          <w:sz w:val="32"/>
          <w:szCs w:val="32"/>
        </w:rPr>
      </w:pPr>
      <w:r>
        <w:rPr>
          <w:spacing w:val="0"/>
          <w:w w:val="100"/>
          <w:position w:val="0"/>
          <w:sz w:val="32"/>
          <w:szCs w:val="32"/>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rFonts w:hint="eastAsia"/>
          <w:spacing w:val="0"/>
          <w:w w:val="100"/>
          <w:position w:val="0"/>
          <w:sz w:val="32"/>
          <w:szCs w:val="32"/>
          <w:lang w:val="en-US" w:eastAsia="zh-CN"/>
        </w:rPr>
      </w:pPr>
      <w:r>
        <w:rPr>
          <w:spacing w:val="0"/>
          <w:w w:val="100"/>
          <w:position w:val="0"/>
          <w:sz w:val="32"/>
          <w:szCs w:val="32"/>
        </w:rPr>
        <w:t>（含车辆购置税、牌照费），按规定保留的公务用车燃料费、维修费、过桥过路费、保险费、安全奖励费用等支出；公务接待费反映单位按规定开支的各类公务接待（含外</w:t>
      </w:r>
      <w:r>
        <w:rPr>
          <w:rFonts w:hint="eastAsia"/>
          <w:spacing w:val="0"/>
          <w:w w:val="100"/>
          <w:position w:val="0"/>
          <w:sz w:val="32"/>
          <w:szCs w:val="32"/>
          <w:lang w:val="en-US" w:eastAsia="zh-CN"/>
        </w:rPr>
        <w:t>宾接待支出）。</w:t>
      </w:r>
    </w:p>
    <w:p>
      <w:pPr>
        <w:pStyle w:val="5"/>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baseline"/>
        <w:rPr>
          <w:rFonts w:hint="eastAsia"/>
          <w:spacing w:val="0"/>
          <w:w w:val="100"/>
          <w:position w:val="0"/>
          <w:sz w:val="32"/>
          <w:szCs w:val="32"/>
          <w:lang w:val="en-US" w:eastAsia="zh-CN"/>
        </w:rPr>
        <w:sectPr>
          <w:headerReference r:id="rId3" w:type="default"/>
          <w:footerReference r:id="rId4" w:type="default"/>
          <w:footerReference r:id="rId5" w:type="even"/>
          <w:pgSz w:w="11905" w:h="16838"/>
          <w:pgMar w:top="1701" w:right="1757" w:bottom="1701" w:left="1757" w:header="0" w:footer="0" w:gutter="0"/>
          <w:pgNumType w:fmt="numberInDash"/>
          <w:cols w:space="720" w:num="1"/>
          <w:rtlGutter w:val="0"/>
          <w:docGrid w:linePitch="286" w:charSpace="0"/>
        </w:sectPr>
      </w:pPr>
    </w:p>
    <w:p>
      <w:pPr>
        <w:keepNext w:val="0"/>
        <w:keepLines w:val="0"/>
        <w:pageBreakBefore w:val="0"/>
        <w:widowControl w:val="0"/>
        <w:kinsoku/>
        <w:wordWrap/>
        <w:overflowPunct/>
        <w:topLinePunct w:val="0"/>
        <w:autoSpaceDE/>
        <w:autoSpaceDN/>
        <w:bidi w:val="0"/>
        <w:spacing w:line="203" w:lineRule="auto"/>
        <w:jc w:val="center"/>
        <w:rPr>
          <w:rFonts w:ascii="方正小标宋简体" w:hAnsi="黑体" w:eastAsia="方正小标宋简体" w:cs="黑体"/>
          <w:color w:val="auto"/>
          <w:spacing w:val="0"/>
          <w:w w:val="100"/>
          <w:position w:val="0"/>
          <w:sz w:val="36"/>
          <w:szCs w:val="36"/>
        </w:rPr>
      </w:pPr>
      <w:r>
        <w:rPr>
          <w:rFonts w:hint="eastAsia" w:ascii="方正小标宋简体" w:hAnsi="宋体" w:eastAsia="方正小标宋简体" w:cs="宋体"/>
          <w:color w:val="auto"/>
          <w:spacing w:val="0"/>
          <w:w w:val="100"/>
          <w:position w:val="0"/>
          <w:sz w:val="36"/>
          <w:szCs w:val="36"/>
        </w:rPr>
        <w:t>收支预算总表</w:t>
      </w:r>
    </w:p>
    <w:p>
      <w:pPr>
        <w:keepNext w:val="0"/>
        <w:keepLines w:val="0"/>
        <w:pageBreakBefore w:val="0"/>
        <w:widowControl w:val="0"/>
        <w:kinsoku/>
        <w:wordWrap/>
        <w:overflowPunct/>
        <w:topLinePunct w:val="0"/>
        <w:autoSpaceDE/>
        <w:autoSpaceDN/>
        <w:bidi w:val="0"/>
        <w:spacing w:line="203" w:lineRule="auto"/>
        <w:rPr>
          <w:rFonts w:ascii="黑体" w:hAnsi="黑体" w:eastAsia="黑体" w:cs="黑体"/>
          <w:color w:val="auto"/>
          <w:spacing w:val="0"/>
          <w:w w:val="100"/>
          <w:position w:val="0"/>
        </w:rPr>
      </w:pPr>
      <w:r>
        <w:rPr>
          <w:rFonts w:ascii="黑体" w:hAnsi="黑体" w:eastAsia="黑体" w:cs="黑体"/>
          <w:color w:val="auto"/>
          <w:spacing w:val="0"/>
          <w:w w:val="100"/>
          <w:position w:val="0"/>
        </w:rPr>
        <w:t>填报单位：</w:t>
      </w:r>
      <w:r>
        <w:rPr>
          <w:rFonts w:hint="eastAsia" w:ascii="黑体" w:hAnsi="黑体" w:eastAsia="黑体" w:cs="黑体"/>
          <w:color w:val="auto"/>
          <w:spacing w:val="0"/>
          <w:w w:val="100"/>
          <w:position w:val="0"/>
          <w:lang w:val="en-US" w:eastAsia="zh-CN"/>
        </w:rPr>
        <w:t>南昌市东湖区人民政府董家窑街道办事处</w:t>
      </w:r>
      <w:r>
        <w:rPr>
          <w:rFonts w:hint="eastAsia" w:ascii="黑体" w:hAnsi="黑体" w:eastAsia="黑体" w:cs="黑体"/>
          <w:color w:val="auto"/>
          <w:spacing w:val="0"/>
          <w:w w:val="100"/>
          <w:position w:val="0"/>
        </w:rPr>
        <w:t xml:space="preserve">                                                                       </w:t>
      </w:r>
      <w:r>
        <w:rPr>
          <w:rFonts w:ascii="黑体" w:hAnsi="黑体" w:eastAsia="黑体" w:cs="黑体"/>
          <w:color w:val="auto"/>
          <w:spacing w:val="0"/>
          <w:w w:val="100"/>
          <w:position w:val="0"/>
        </w:rPr>
        <w:t>单位：万元</w:t>
      </w:r>
      <w:r>
        <w:rPr>
          <w:rFonts w:hint="eastAsia" w:ascii="黑体" w:hAnsi="黑体" w:eastAsia="黑体" w:cs="黑体"/>
          <w:color w:val="auto"/>
          <w:spacing w:val="0"/>
          <w:w w:val="100"/>
          <w:position w:val="0"/>
        </w:rPr>
        <w:t xml:space="preserve">                       </w:t>
      </w:r>
    </w:p>
    <w:tbl>
      <w:tblPr>
        <w:tblStyle w:val="10"/>
        <w:tblW w:w="1413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63"/>
        <w:gridCol w:w="843"/>
        <w:gridCol w:w="2458"/>
        <w:gridCol w:w="5103"/>
        <w:gridCol w:w="226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14130" w:type="dxa"/>
            <w:gridSpan w:val="5"/>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hint="eastAsia" w:ascii="宋体" w:hAnsi="宋体" w:eastAsia="宋体" w:cs="宋体"/>
                <w:color w:val="auto"/>
                <w:spacing w:val="0"/>
                <w:w w:val="100"/>
                <w:position w:val="0"/>
                <w:lang w:eastAsia="zh-CN"/>
              </w:rPr>
            </w:pPr>
            <w:r>
              <w:rPr>
                <w:rFonts w:ascii="宋体" w:hAnsi="宋体" w:eastAsia="宋体" w:cs="宋体"/>
                <w:color w:val="auto"/>
                <w:spacing w:val="0"/>
                <w:w w:val="100"/>
                <w:position w:val="0"/>
              </w:rPr>
              <w:t>收入支</w:t>
            </w:r>
            <w:r>
              <w:rPr>
                <w:rFonts w:hint="eastAsia" w:ascii="宋体" w:hAnsi="宋体" w:eastAsia="宋体" w:cs="宋体"/>
                <w:color w:val="auto"/>
                <w:spacing w:val="0"/>
                <w:w w:val="100"/>
                <w:position w:val="0"/>
                <w:lang w:eastAsia="zh-CN"/>
              </w:rPr>
              <w:t>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项 目</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预算数</w:t>
            </w: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项目（按支出功能科目类级）</w:t>
            </w: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预算数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一、财政拨款</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1713.98</w:t>
            </w: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一般公共服务支出</w:t>
            </w: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1018.93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一般公共预算拨款收入</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r>
              <w:rPr>
                <w:rFonts w:hint="eastAsia" w:eastAsia="宋体"/>
                <w:color w:val="auto"/>
                <w:spacing w:val="0"/>
                <w:w w:val="100"/>
                <w:position w:val="0"/>
                <w:lang w:val="en-US" w:eastAsia="zh-CN"/>
              </w:rPr>
              <w:t>1713.98</w:t>
            </w: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国防支出</w:t>
            </w: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0.05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政府性基金预算拨款收入</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社会保障和就业支出</w:t>
            </w: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615.00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国有资本经营预算收入</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城乡社区支出</w:t>
            </w: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152.90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二、教育收费资金收入</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住房保障支出</w:t>
            </w: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58.00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三、事业收入</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四、事业单位经营收入</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五、附属单位上缴收入</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六、上级补助收入</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七、其他收入</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本年收入合计</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r>
              <w:rPr>
                <w:rFonts w:hint="eastAsia" w:eastAsia="宋体"/>
                <w:color w:val="auto"/>
                <w:spacing w:val="0"/>
                <w:w w:val="100"/>
                <w:position w:val="0"/>
                <w:lang w:val="en-US" w:eastAsia="zh-CN"/>
              </w:rPr>
              <w:t>1713.98</w:t>
            </w: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本年支出合计</w:t>
            </w: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r>
              <w:rPr>
                <w:rFonts w:hint="eastAsia" w:eastAsia="宋体"/>
                <w:color w:val="auto"/>
                <w:spacing w:val="0"/>
                <w:w w:val="100"/>
                <w:position w:val="0"/>
                <w:lang w:val="en-US" w:eastAsia="zh-CN"/>
              </w:rPr>
              <w:t>1844.88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八、使用非财政拨款结余</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结转下年</w:t>
            </w: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九、上年结转（结余）</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130.90</w:t>
            </w: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color w:val="auto"/>
                <w:spacing w:val="0"/>
                <w:w w:val="100"/>
                <w:position w:val="0"/>
              </w:rPr>
            </w:pP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jc w:val="center"/>
        </w:trPr>
        <w:tc>
          <w:tcPr>
            <w:tcW w:w="3463" w:type="dxa"/>
            <w:tcBorders>
              <w:left w:val="single" w:color="000000" w:sz="4" w:space="0"/>
              <w:right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left"/>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收入总计</w:t>
            </w:r>
          </w:p>
        </w:tc>
        <w:tc>
          <w:tcPr>
            <w:tcW w:w="843" w:type="dxa"/>
            <w:tcBorders>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color w:val="auto"/>
                <w:spacing w:val="0"/>
                <w:w w:val="100"/>
                <w:position w:val="0"/>
              </w:rPr>
            </w:pPr>
          </w:p>
        </w:tc>
        <w:tc>
          <w:tcPr>
            <w:tcW w:w="2458"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1844.88</w:t>
            </w:r>
          </w:p>
        </w:tc>
        <w:tc>
          <w:tcPr>
            <w:tcW w:w="510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支出总计</w:t>
            </w:r>
          </w:p>
        </w:tc>
        <w:tc>
          <w:tcPr>
            <w:tcW w:w="2263" w:type="dxa"/>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right="0" w:rightChars="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1844.88</w:t>
            </w:r>
          </w:p>
        </w:tc>
      </w:tr>
    </w:tbl>
    <w:p>
      <w:pPr>
        <w:keepNext w:val="0"/>
        <w:keepLines w:val="0"/>
        <w:pageBreakBefore w:val="0"/>
        <w:widowControl w:val="0"/>
        <w:kinsoku/>
        <w:wordWrap/>
        <w:overflowPunct/>
        <w:topLinePunct w:val="0"/>
        <w:autoSpaceDE/>
        <w:autoSpaceDN/>
        <w:bidi w:val="0"/>
        <w:rPr>
          <w:rFonts w:ascii="黑体" w:hAnsi="黑体" w:eastAsia="黑体" w:cs="黑体"/>
          <w:color w:val="auto"/>
          <w:spacing w:val="0"/>
          <w:w w:val="100"/>
          <w:position w:val="0"/>
        </w:rPr>
      </w:pPr>
      <w:r>
        <w:rPr>
          <w:rFonts w:ascii="黑体" w:hAnsi="黑体" w:eastAsia="黑体" w:cs="黑体"/>
          <w:color w:val="auto"/>
          <w:spacing w:val="0"/>
          <w:w w:val="100"/>
          <w:position w:val="0"/>
        </w:rPr>
        <w:t>注：由于本表中数据四舍五入原因，部分汇总数据与分项加总之和可能存在尾差（下同）</w:t>
      </w:r>
      <w:r>
        <w:rPr>
          <w:rFonts w:hint="eastAsia" w:ascii="黑体" w:hAnsi="黑体" w:eastAsia="黑体" w:cs="黑体"/>
          <w:color w:val="auto"/>
          <w:spacing w:val="0"/>
          <w:w w:val="100"/>
          <w:position w:val="0"/>
        </w:rPr>
        <w:t>。</w:t>
      </w: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spacing w:val="0"/>
          <w:w w:val="100"/>
          <w:position w:val="0"/>
        </w:rPr>
      </w:pPr>
      <w:r>
        <w:rPr>
          <w:rFonts w:ascii="黑体" w:hAnsi="黑体" w:eastAsia="黑体" w:cs="黑体"/>
          <w:color w:val="auto"/>
          <w:spacing w:val="0"/>
          <w:w w:val="100"/>
          <w:position w:val="0"/>
        </w:rPr>
        <w:drawing>
          <wp:inline distT="0" distB="0" distL="114300" distR="114300">
            <wp:extent cx="8110855" cy="6380480"/>
            <wp:effectExtent l="0" t="0" r="4445" b="1270"/>
            <wp:docPr id="1" name="图片 15" descr="171029706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5" descr="1710297064337"/>
                    <pic:cNvPicPr>
                      <a:picLocks noChangeAspect="1"/>
                    </pic:cNvPicPr>
                  </pic:nvPicPr>
                  <pic:blipFill>
                    <a:blip r:embed="rId7"/>
                    <a:stretch>
                      <a:fillRect/>
                    </a:stretch>
                  </pic:blipFill>
                  <pic:spPr>
                    <a:xfrm>
                      <a:off x="0" y="0"/>
                      <a:ext cx="8110855" cy="6380480"/>
                    </a:xfrm>
                    <a:prstGeom prst="rect">
                      <a:avLst/>
                    </a:prstGeom>
                    <a:noFill/>
                    <a:ln>
                      <a:noFill/>
                    </a:ln>
                  </pic:spPr>
                </pic:pic>
              </a:graphicData>
            </a:graphic>
          </wp:inline>
        </w:drawing>
      </w:r>
      <w:r>
        <w:rPr>
          <w:rFonts w:ascii="黑体" w:hAnsi="黑体" w:eastAsia="黑体" w:cs="黑体"/>
          <w:color w:val="auto"/>
          <w:spacing w:val="0"/>
          <w:w w:val="100"/>
          <w:position w:val="0"/>
        </w:rPr>
        <w:br w:type="page"/>
      </w:r>
      <w:r>
        <w:rPr>
          <w:rFonts w:ascii="黑体" w:hAnsi="黑体" w:eastAsia="黑体" w:cs="黑体"/>
          <w:color w:val="auto"/>
          <w:spacing w:val="0"/>
          <w:w w:val="100"/>
          <w:position w:val="0"/>
        </w:rPr>
        <w:drawing>
          <wp:inline distT="0" distB="0" distL="114300" distR="114300">
            <wp:extent cx="8046720" cy="6324600"/>
            <wp:effectExtent l="0" t="0" r="11430" b="0"/>
            <wp:docPr id="2" name="图片 46" descr="1710297358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6" descr="1710297358192"/>
                    <pic:cNvPicPr>
                      <a:picLocks noChangeAspect="1"/>
                    </pic:cNvPicPr>
                  </pic:nvPicPr>
                  <pic:blipFill>
                    <a:blip r:embed="rId8"/>
                    <a:stretch>
                      <a:fillRect/>
                    </a:stretch>
                  </pic:blipFill>
                  <pic:spPr>
                    <a:xfrm>
                      <a:off x="0" y="0"/>
                      <a:ext cx="8046720" cy="6324600"/>
                    </a:xfrm>
                    <a:prstGeom prst="rect">
                      <a:avLst/>
                    </a:prstGeom>
                    <a:noFill/>
                    <a:ln>
                      <a:noFill/>
                    </a:ln>
                  </pic:spPr>
                </pic:pic>
              </a:graphicData>
            </a:graphic>
          </wp:inline>
        </w:drawing>
      </w:r>
      <w:r>
        <w:rPr>
          <w:rFonts w:ascii="黑体" w:hAnsi="黑体" w:eastAsia="黑体" w:cs="黑体"/>
          <w:color w:val="auto"/>
          <w:spacing w:val="0"/>
          <w:w w:val="100"/>
          <w:position w:val="0"/>
        </w:rPr>
        <w:br w:type="page"/>
      </w:r>
    </w:p>
    <w:p>
      <w:pPr>
        <w:keepNext w:val="0"/>
        <w:keepLines w:val="0"/>
        <w:pageBreakBefore w:val="0"/>
        <w:widowControl w:val="0"/>
        <w:kinsoku/>
        <w:wordWrap/>
        <w:overflowPunct/>
        <w:topLinePunct w:val="0"/>
        <w:autoSpaceDE/>
        <w:autoSpaceDN/>
        <w:bidi w:val="0"/>
        <w:spacing w:line="500" w:lineRule="exact"/>
        <w:jc w:val="center"/>
        <w:rPr>
          <w:rFonts w:ascii="黑体" w:hAnsi="黑体" w:eastAsia="黑体" w:cs="黑体"/>
          <w:color w:val="auto"/>
          <w:spacing w:val="0"/>
          <w:w w:val="100"/>
          <w:position w:val="0"/>
        </w:rPr>
      </w:pPr>
      <w:r>
        <w:rPr>
          <w:rFonts w:ascii="方正小标宋简体" w:hAnsi="宋体" w:eastAsia="方正小标宋简体" w:cs="宋体"/>
          <w:color w:val="auto"/>
          <w:spacing w:val="0"/>
          <w:w w:val="100"/>
          <w:position w:val="0"/>
          <w:sz w:val="36"/>
          <w:szCs w:val="36"/>
        </w:rPr>
        <w:t>财政拨款收支总表</w:t>
      </w:r>
    </w:p>
    <w:p>
      <w:pPr>
        <w:keepNext w:val="0"/>
        <w:keepLines w:val="0"/>
        <w:pageBreakBefore w:val="0"/>
        <w:widowControl w:val="0"/>
        <w:kinsoku/>
        <w:wordWrap/>
        <w:overflowPunct/>
        <w:topLinePunct w:val="0"/>
        <w:autoSpaceDE/>
        <w:autoSpaceDN/>
        <w:bidi w:val="0"/>
        <w:rPr>
          <w:rFonts w:ascii="黑体" w:hAnsi="黑体" w:eastAsia="黑体"/>
          <w:spacing w:val="0"/>
          <w:w w:val="100"/>
          <w:position w:val="0"/>
        </w:rPr>
      </w:pPr>
      <w:r>
        <w:rPr>
          <w:rFonts w:hint="eastAsia" w:ascii="黑体" w:hAnsi="黑体" w:eastAsia="黑体" w:cs="宋体"/>
          <w:spacing w:val="0"/>
          <w:w w:val="100"/>
          <w:position w:val="0"/>
        </w:rPr>
        <w:t xml:space="preserve">填报单位： </w:t>
      </w:r>
      <w:r>
        <w:rPr>
          <w:rFonts w:hint="eastAsia" w:ascii="黑体" w:hAnsi="黑体" w:eastAsia="黑体" w:cs="黑体"/>
          <w:color w:val="auto"/>
          <w:spacing w:val="0"/>
          <w:w w:val="100"/>
          <w:position w:val="0"/>
          <w:lang w:val="en-US" w:eastAsia="zh-CN"/>
        </w:rPr>
        <w:t>南昌市东湖区人民政府董家窑街道办事处</w:t>
      </w:r>
      <w:r>
        <w:rPr>
          <w:rFonts w:hint="eastAsia" w:ascii="黑体" w:hAnsi="黑体" w:eastAsia="黑体" w:cs="宋体"/>
          <w:spacing w:val="0"/>
          <w:w w:val="100"/>
          <w:position w:val="0"/>
        </w:rPr>
        <w:t xml:space="preserve">                                                                    </w:t>
      </w:r>
      <w:r>
        <w:rPr>
          <w:rFonts w:hint="eastAsia" w:ascii="黑体" w:hAnsi="黑体" w:eastAsia="黑体" w:cs="宋体"/>
          <w:spacing w:val="0"/>
          <w:w w:val="100"/>
          <w:position w:val="0"/>
          <w:lang w:val="en-US" w:eastAsia="zh-CN"/>
        </w:rPr>
        <w:t>单位：万元</w:t>
      </w:r>
      <w:r>
        <w:rPr>
          <w:rFonts w:hint="eastAsia" w:ascii="黑体" w:hAnsi="黑体" w:eastAsia="黑体" w:cs="宋体"/>
          <w:spacing w:val="0"/>
          <w:w w:val="100"/>
          <w:position w:val="0"/>
        </w:rPr>
        <w:t xml:space="preserve">                             </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37"/>
        <w:gridCol w:w="1541"/>
        <w:gridCol w:w="3388"/>
        <w:gridCol w:w="1553"/>
        <w:gridCol w:w="2093"/>
        <w:gridCol w:w="23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ascii="宋体" w:hAnsi="宋体" w:eastAsia="宋体" w:cs="宋体"/>
                <w:color w:val="auto"/>
                <w:spacing w:val="0"/>
                <w:w w:val="100"/>
                <w:position w:val="0"/>
              </w:rPr>
            </w:pPr>
            <w:r>
              <w:rPr>
                <w:rFonts w:ascii="宋体" w:hAnsi="宋体" w:eastAsia="宋体" w:cs="宋体"/>
                <w:spacing w:val="0"/>
                <w:w w:val="100"/>
                <w:position w:val="0"/>
                <w:sz w:val="20"/>
                <w:szCs w:val="20"/>
              </w:rPr>
              <w:t>收</w:t>
            </w:r>
            <w:r>
              <w:rPr>
                <w:rFonts w:ascii="宋体" w:hAnsi="宋体" w:eastAsia="宋体" w:cs="宋体"/>
                <w:color w:val="auto"/>
                <w:spacing w:val="0"/>
                <w:w w:val="100"/>
                <w:position w:val="0"/>
              </w:rPr>
              <w:t>入</w:t>
            </w: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9362" w:type="dxa"/>
            <w:gridSpan w:val="4"/>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项 目</w:t>
            </w: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预算数</w:t>
            </w: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项目（按支出功能科目类级）</w:t>
            </w: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合计</w:t>
            </w: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一般公共预算支出</w:t>
            </w: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政府性基金预算支出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一、财政拨款收入</w:t>
            </w: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1713.98</w:t>
            </w: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一、本年支出</w:t>
            </w: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r>
              <w:rPr>
                <w:rFonts w:hint="eastAsia" w:eastAsia="宋体"/>
                <w:color w:val="auto"/>
                <w:spacing w:val="0"/>
                <w:w w:val="100"/>
                <w:position w:val="0"/>
                <w:lang w:val="en-US" w:eastAsia="zh-CN"/>
              </w:rPr>
              <w:t>1713.98</w:t>
            </w: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r>
              <w:rPr>
                <w:rFonts w:hint="eastAsia" w:eastAsia="宋体"/>
                <w:color w:val="auto"/>
                <w:spacing w:val="0"/>
                <w:w w:val="100"/>
                <w:position w:val="0"/>
                <w:lang w:val="en-US" w:eastAsia="zh-CN"/>
              </w:rPr>
              <w:t>1713.98</w:t>
            </w: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一般公共预算拨款收入</w:t>
            </w: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1713.98</w:t>
            </w: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r>
              <w:rPr>
                <w:rFonts w:hint="eastAsia" w:eastAsia="宋体"/>
                <w:color w:val="auto"/>
                <w:spacing w:val="0"/>
                <w:w w:val="100"/>
                <w:position w:val="0"/>
                <w:lang w:val="en-US" w:eastAsia="zh-CN"/>
              </w:rPr>
              <w:t>一般公共服务支出</w:t>
            </w: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1018.93</w:t>
            </w: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r>
              <w:rPr>
                <w:rFonts w:hint="eastAsia" w:eastAsia="宋体"/>
                <w:color w:val="auto"/>
                <w:spacing w:val="0"/>
                <w:w w:val="100"/>
                <w:position w:val="0"/>
                <w:lang w:val="en-US" w:eastAsia="zh-CN"/>
              </w:rPr>
              <w:t>1018.93</w:t>
            </w: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政府性基金预算拨款收入</w:t>
            </w: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r>
              <w:rPr>
                <w:rFonts w:hint="eastAsia" w:eastAsia="宋体"/>
                <w:color w:val="auto"/>
                <w:spacing w:val="0"/>
                <w:w w:val="100"/>
                <w:position w:val="0"/>
                <w:lang w:val="en-US" w:eastAsia="zh-CN"/>
              </w:rPr>
              <w:t>国防支出</w:t>
            </w: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0.05</w:t>
            </w: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0.05</w:t>
            </w: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国有资本经营预算收入</w:t>
            </w: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社会保障和就业支出</w:t>
            </w: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615.00</w:t>
            </w: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r>
              <w:rPr>
                <w:rFonts w:hint="eastAsia" w:eastAsia="宋体"/>
                <w:color w:val="auto"/>
                <w:spacing w:val="0"/>
                <w:w w:val="100"/>
                <w:position w:val="0"/>
                <w:lang w:val="en-US" w:eastAsia="zh-CN"/>
              </w:rPr>
              <w:t>615.00</w:t>
            </w: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城乡社区支出</w:t>
            </w: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22.00</w:t>
            </w: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r>
              <w:rPr>
                <w:rFonts w:hint="eastAsia" w:eastAsia="宋体"/>
                <w:color w:val="auto"/>
                <w:spacing w:val="0"/>
                <w:w w:val="100"/>
                <w:position w:val="0"/>
                <w:lang w:val="en-US" w:eastAsia="zh-CN"/>
              </w:rPr>
              <w:t>22.00</w:t>
            </w: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住房保障支出</w:t>
            </w: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hint="default" w:eastAsia="宋体"/>
                <w:color w:val="auto"/>
                <w:spacing w:val="0"/>
                <w:w w:val="100"/>
                <w:position w:val="0"/>
                <w:lang w:val="en-US" w:eastAsia="zh-CN"/>
              </w:rPr>
            </w:pPr>
            <w:r>
              <w:rPr>
                <w:rFonts w:hint="eastAsia" w:eastAsia="宋体"/>
                <w:color w:val="auto"/>
                <w:spacing w:val="0"/>
                <w:w w:val="100"/>
                <w:position w:val="0"/>
                <w:lang w:val="en-US" w:eastAsia="zh-CN"/>
              </w:rPr>
              <w:t>58.00</w:t>
            </w: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r>
              <w:rPr>
                <w:rFonts w:hint="eastAsia" w:eastAsia="宋体"/>
                <w:color w:val="auto"/>
                <w:spacing w:val="0"/>
                <w:w w:val="100"/>
                <w:position w:val="0"/>
                <w:lang w:val="en-US" w:eastAsia="zh-CN"/>
              </w:rPr>
              <w:t>58.00</w:t>
            </w: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二、上年结转</w:t>
            </w: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二、结转下年</w:t>
            </w: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一般公共预算拨款结转</w:t>
            </w: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政府性基金预算拨款结转</w:t>
            </w: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23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收入总计</w:t>
            </w:r>
          </w:p>
        </w:tc>
        <w:tc>
          <w:tcPr>
            <w:tcW w:w="1541"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r>
              <w:rPr>
                <w:rFonts w:hint="eastAsia" w:eastAsia="宋体"/>
                <w:color w:val="auto"/>
                <w:spacing w:val="0"/>
                <w:w w:val="100"/>
                <w:position w:val="0"/>
                <w:lang w:val="en-US" w:eastAsia="zh-CN"/>
              </w:rPr>
              <w:t>1713.98</w:t>
            </w:r>
          </w:p>
        </w:tc>
        <w:tc>
          <w:tcPr>
            <w:tcW w:w="338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rFonts w:ascii="宋体" w:hAnsi="宋体" w:eastAsia="宋体" w:cs="宋体"/>
                <w:color w:val="auto"/>
                <w:spacing w:val="0"/>
                <w:w w:val="100"/>
                <w:position w:val="0"/>
              </w:rPr>
            </w:pPr>
            <w:r>
              <w:rPr>
                <w:rFonts w:ascii="宋体" w:hAnsi="宋体" w:eastAsia="宋体" w:cs="宋体"/>
                <w:color w:val="auto"/>
                <w:spacing w:val="0"/>
                <w:w w:val="100"/>
                <w:position w:val="0"/>
              </w:rPr>
              <w:t>支出总计</w:t>
            </w:r>
          </w:p>
        </w:tc>
        <w:tc>
          <w:tcPr>
            <w:tcW w:w="155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r>
              <w:rPr>
                <w:rFonts w:hint="eastAsia" w:eastAsia="宋体"/>
                <w:color w:val="auto"/>
                <w:spacing w:val="0"/>
                <w:w w:val="100"/>
                <w:position w:val="0"/>
                <w:lang w:val="en-US" w:eastAsia="zh-CN"/>
              </w:rPr>
              <w:t>1713.98</w:t>
            </w:r>
          </w:p>
        </w:tc>
        <w:tc>
          <w:tcPr>
            <w:tcW w:w="209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r>
              <w:rPr>
                <w:rFonts w:hint="eastAsia" w:eastAsia="宋体"/>
                <w:color w:val="auto"/>
                <w:spacing w:val="0"/>
                <w:w w:val="100"/>
                <w:position w:val="0"/>
                <w:lang w:val="en-US" w:eastAsia="zh-CN"/>
              </w:rPr>
              <w:t>1713.98</w:t>
            </w:r>
          </w:p>
        </w:tc>
        <w:tc>
          <w:tcPr>
            <w:tcW w:w="232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42" w:leftChars="20" w:right="42" w:rightChars="20"/>
              <w:jc w:val="center"/>
              <w:textAlignment w:val="baseline"/>
              <w:rPr>
                <w:color w:val="auto"/>
                <w:spacing w:val="0"/>
                <w:w w:val="100"/>
                <w:position w:val="0"/>
              </w:rPr>
            </w:pPr>
          </w:p>
        </w:tc>
      </w:tr>
    </w:tbl>
    <w:p>
      <w:pPr>
        <w:keepNext w:val="0"/>
        <w:keepLines w:val="0"/>
        <w:pageBreakBefore w:val="0"/>
        <w:widowControl w:val="0"/>
        <w:kinsoku/>
        <w:wordWrap/>
        <w:overflowPunct/>
        <w:topLinePunct w:val="0"/>
        <w:autoSpaceDE/>
        <w:autoSpaceDN/>
        <w:bidi w:val="0"/>
        <w:spacing w:line="14" w:lineRule="auto"/>
        <w:rPr>
          <w:color w:val="auto"/>
          <w:spacing w:val="0"/>
          <w:w w:val="100"/>
          <w:position w:val="0"/>
        </w:rPr>
      </w:pPr>
    </w:p>
    <w:p>
      <w:pPr>
        <w:keepNext w:val="0"/>
        <w:keepLines w:val="0"/>
        <w:pageBreakBefore w:val="0"/>
        <w:widowControl w:val="0"/>
        <w:kinsoku/>
        <w:wordWrap/>
        <w:overflowPunct/>
        <w:topLinePunct w:val="0"/>
        <w:autoSpaceDE/>
        <w:autoSpaceDN/>
        <w:bidi w:val="0"/>
        <w:spacing w:line="14" w:lineRule="auto"/>
        <w:rPr>
          <w:color w:val="auto"/>
          <w:spacing w:val="0"/>
          <w:w w:val="100"/>
          <w:position w:val="0"/>
        </w:rPr>
      </w:pP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position w:val="0"/>
          <w:lang w:eastAsia="zh-CN"/>
        </w:rPr>
      </w:pPr>
      <w:r>
        <w:rPr>
          <w:rFonts w:ascii="黑体" w:hAnsi="黑体" w:eastAsia="黑体" w:cs="黑体"/>
          <w:color w:val="auto"/>
          <w:spacing w:val="0"/>
          <w:w w:val="100"/>
          <w:position w:val="0"/>
        </w:rPr>
        <w:br w:type="page"/>
      </w:r>
      <w:r>
        <w:rPr>
          <w:rFonts w:hint="eastAsia" w:ascii="黑体" w:hAnsi="黑体" w:eastAsia="黑体" w:cs="黑体"/>
          <w:color w:val="auto"/>
          <w:spacing w:val="0"/>
          <w:w w:val="100"/>
          <w:position w:val="0"/>
          <w:lang w:eastAsia="zh-CN"/>
        </w:rPr>
        <w:drawing>
          <wp:inline distT="0" distB="0" distL="114300" distR="114300">
            <wp:extent cx="7579995" cy="5835015"/>
            <wp:effectExtent l="0" t="0" r="1905" b="13335"/>
            <wp:docPr id="3" name="图片 28" descr="171029828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8" descr="1710298280684"/>
                    <pic:cNvPicPr>
                      <a:picLocks noChangeAspect="1"/>
                    </pic:cNvPicPr>
                  </pic:nvPicPr>
                  <pic:blipFill>
                    <a:blip r:embed="rId9"/>
                    <a:stretch>
                      <a:fillRect/>
                    </a:stretch>
                  </pic:blipFill>
                  <pic:spPr>
                    <a:xfrm>
                      <a:off x="0" y="0"/>
                      <a:ext cx="7579995" cy="58350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spacing w:before="44" w:line="203" w:lineRule="auto"/>
        <w:ind w:firstLine="54"/>
        <w:jc w:val="center"/>
        <w:rPr>
          <w:rFonts w:hint="eastAsia" w:ascii="方正小标宋简体" w:hAnsi="宋体" w:eastAsia="方正小标宋简体" w:cs="宋体"/>
          <w:color w:val="auto"/>
          <w:spacing w:val="0"/>
          <w:w w:val="100"/>
          <w:position w:val="0"/>
          <w:sz w:val="36"/>
          <w:szCs w:val="36"/>
          <w:lang w:eastAsia="zh-CN"/>
        </w:rPr>
      </w:pPr>
      <w:r>
        <w:rPr>
          <w:rFonts w:hint="eastAsia" w:ascii="方正小标宋简体" w:hAnsi="宋体" w:eastAsia="方正小标宋简体" w:cs="宋体"/>
          <w:color w:val="auto"/>
          <w:spacing w:val="0"/>
          <w:w w:val="100"/>
          <w:position w:val="0"/>
          <w:sz w:val="36"/>
          <w:szCs w:val="36"/>
          <w:lang w:eastAsia="zh-CN"/>
        </w:rPr>
        <w:drawing>
          <wp:inline distT="0" distB="0" distL="114300" distR="114300">
            <wp:extent cx="6735445" cy="4998085"/>
            <wp:effectExtent l="0" t="0" r="8255" b="12065"/>
            <wp:docPr id="4" name="图片 30" descr="1710298500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0" descr="1710298500941"/>
                    <pic:cNvPicPr>
                      <a:picLocks noChangeAspect="1"/>
                    </pic:cNvPicPr>
                  </pic:nvPicPr>
                  <pic:blipFill>
                    <a:blip r:embed="rId10"/>
                    <a:stretch>
                      <a:fillRect/>
                    </a:stretch>
                  </pic:blipFill>
                  <pic:spPr>
                    <a:xfrm>
                      <a:off x="0" y="0"/>
                      <a:ext cx="6735445" cy="49980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cs="黑体"/>
          <w:color w:val="auto"/>
          <w:spacing w:val="0"/>
          <w:w w:val="100"/>
          <w:position w:val="0"/>
        </w:rPr>
      </w:pPr>
    </w:p>
    <w:p>
      <w:pPr>
        <w:keepNext w:val="0"/>
        <w:keepLines w:val="0"/>
        <w:pageBreakBefore w:val="0"/>
        <w:widowControl w:val="0"/>
        <w:kinsoku/>
        <w:wordWrap/>
        <w:overflowPunct/>
        <w:topLinePunct w:val="0"/>
        <w:autoSpaceDE/>
        <w:autoSpaceDN/>
        <w:bidi w:val="0"/>
        <w:spacing w:line="560" w:lineRule="exact"/>
        <w:rPr>
          <w:rFonts w:ascii="黑体" w:hAnsi="黑体" w:eastAsia="黑体" w:cs="黑体"/>
          <w:color w:val="auto"/>
          <w:spacing w:val="0"/>
          <w:w w:val="100"/>
          <w:position w:val="0"/>
        </w:rPr>
      </w:pPr>
      <w:r>
        <w:rPr>
          <w:rFonts w:hint="eastAsia" w:ascii="黑体" w:hAnsi="黑体" w:eastAsia="黑体" w:cs="黑体"/>
          <w:color w:val="auto"/>
          <w:spacing w:val="0"/>
          <w:w w:val="100"/>
          <w:position w:val="0"/>
        </w:rPr>
        <w:t xml:space="preserve"> </w:t>
      </w:r>
    </w:p>
    <w:p>
      <w:pPr>
        <w:keepNext w:val="0"/>
        <w:keepLines w:val="0"/>
        <w:pageBreakBefore w:val="0"/>
        <w:widowControl w:val="0"/>
        <w:kinsoku/>
        <w:wordWrap/>
        <w:overflowPunct/>
        <w:topLinePunct w:val="0"/>
        <w:autoSpaceDE/>
        <w:autoSpaceDN/>
        <w:bidi w:val="0"/>
        <w:spacing w:before="44" w:line="203" w:lineRule="auto"/>
        <w:ind w:firstLine="54"/>
        <w:jc w:val="center"/>
        <w:rPr>
          <w:rFonts w:ascii="方正小标宋简体" w:hAnsi="宋体" w:eastAsia="方正小标宋简体" w:cs="宋体"/>
          <w:color w:val="auto"/>
          <w:spacing w:val="0"/>
          <w:w w:val="100"/>
          <w:position w:val="0"/>
          <w:sz w:val="36"/>
          <w:szCs w:val="36"/>
        </w:rPr>
      </w:pPr>
      <w:r>
        <w:rPr>
          <w:rFonts w:hint="eastAsia" w:ascii="方正小标宋简体" w:hAnsi="宋体" w:eastAsia="方正小标宋简体" w:cs="宋体"/>
          <w:color w:val="auto"/>
          <w:spacing w:val="0"/>
          <w:w w:val="100"/>
          <w:position w:val="0"/>
          <w:sz w:val="36"/>
          <w:szCs w:val="36"/>
          <w:lang w:val="en-US" w:eastAsia="zh-CN"/>
        </w:rPr>
        <w:t>财政拨款</w:t>
      </w:r>
      <w:r>
        <w:rPr>
          <w:rFonts w:hint="eastAsia" w:ascii="方正小标宋简体" w:hAnsi="宋体" w:eastAsia="方正小标宋简体" w:cs="宋体"/>
          <w:color w:val="auto"/>
          <w:spacing w:val="0"/>
          <w:w w:val="100"/>
          <w:position w:val="0"/>
          <w:sz w:val="36"/>
          <w:szCs w:val="36"/>
        </w:rPr>
        <w:t>“</w:t>
      </w:r>
      <w:r>
        <w:rPr>
          <w:rFonts w:ascii="方正小标宋简体" w:hAnsi="宋体" w:eastAsia="方正小标宋简体" w:cs="宋体"/>
          <w:color w:val="auto"/>
          <w:spacing w:val="0"/>
          <w:w w:val="100"/>
          <w:position w:val="0"/>
          <w:sz w:val="36"/>
          <w:szCs w:val="36"/>
        </w:rPr>
        <w:t>三公</w:t>
      </w:r>
      <w:r>
        <w:rPr>
          <w:rFonts w:hint="eastAsia" w:ascii="方正小标宋简体" w:hAnsi="宋体" w:eastAsia="方正小标宋简体" w:cs="宋体"/>
          <w:color w:val="auto"/>
          <w:spacing w:val="0"/>
          <w:w w:val="100"/>
          <w:position w:val="0"/>
          <w:sz w:val="36"/>
          <w:szCs w:val="36"/>
        </w:rPr>
        <w:t>”</w:t>
      </w:r>
      <w:r>
        <w:rPr>
          <w:rFonts w:ascii="方正小标宋简体" w:hAnsi="宋体" w:eastAsia="方正小标宋简体" w:cs="宋体"/>
          <w:color w:val="auto"/>
          <w:spacing w:val="0"/>
          <w:w w:val="100"/>
          <w:position w:val="0"/>
          <w:sz w:val="36"/>
          <w:szCs w:val="36"/>
        </w:rPr>
        <w:t>经费支出表</w:t>
      </w:r>
    </w:p>
    <w:p>
      <w:pPr>
        <w:keepNext w:val="0"/>
        <w:keepLines w:val="0"/>
        <w:pageBreakBefore w:val="0"/>
        <w:widowControl w:val="0"/>
        <w:kinsoku/>
        <w:wordWrap/>
        <w:overflowPunct/>
        <w:topLinePunct w:val="0"/>
        <w:autoSpaceDE/>
        <w:autoSpaceDN/>
        <w:bidi w:val="0"/>
        <w:spacing w:line="61" w:lineRule="exact"/>
        <w:rPr>
          <w:color w:val="auto"/>
          <w:spacing w:val="0"/>
          <w:w w:val="100"/>
          <w:position w:val="0"/>
        </w:rPr>
      </w:pPr>
    </w:p>
    <w:p>
      <w:pPr>
        <w:keepNext w:val="0"/>
        <w:keepLines w:val="0"/>
        <w:pageBreakBefore w:val="0"/>
        <w:widowControl w:val="0"/>
        <w:kinsoku/>
        <w:wordWrap/>
        <w:overflowPunct/>
        <w:topLinePunct w:val="0"/>
        <w:autoSpaceDE/>
        <w:autoSpaceDN/>
        <w:bidi w:val="0"/>
        <w:rPr>
          <w:rFonts w:ascii="黑体" w:hAnsi="黑体" w:eastAsia="黑体" w:cs="黑体"/>
          <w:color w:val="auto"/>
          <w:spacing w:val="0"/>
          <w:w w:val="100"/>
          <w:position w:val="0"/>
        </w:rPr>
      </w:pPr>
      <w:r>
        <w:rPr>
          <w:rFonts w:ascii="黑体" w:hAnsi="黑体" w:eastAsia="黑体" w:cs="黑体"/>
          <w:color w:val="auto"/>
          <w:spacing w:val="0"/>
          <w:w w:val="100"/>
          <w:position w:val="0"/>
        </w:rPr>
        <w:t>填报单位：</w:t>
      </w:r>
      <w:r>
        <w:rPr>
          <w:rFonts w:hint="eastAsia" w:ascii="黑体" w:hAnsi="黑体" w:eastAsia="黑体" w:cs="黑体"/>
          <w:color w:val="auto"/>
          <w:spacing w:val="0"/>
          <w:w w:val="100"/>
          <w:position w:val="0"/>
          <w:lang w:val="en-US" w:eastAsia="zh-CN"/>
        </w:rPr>
        <w:t>南昌市东湖区人民政府董家窑街道办事处</w:t>
      </w:r>
      <w:r>
        <w:rPr>
          <w:rFonts w:hint="eastAsia" w:ascii="黑体" w:hAnsi="黑体" w:eastAsia="黑体" w:cs="黑体"/>
          <w:color w:val="auto"/>
          <w:spacing w:val="0"/>
          <w:w w:val="100"/>
          <w:position w:val="0"/>
        </w:rPr>
        <w:t xml:space="preserve">                                                                      </w:t>
      </w:r>
      <w:r>
        <w:rPr>
          <w:rFonts w:ascii="黑体" w:hAnsi="黑体" w:eastAsia="黑体" w:cs="黑体"/>
          <w:color w:val="auto"/>
          <w:spacing w:val="0"/>
          <w:w w:val="100"/>
          <w:position w:val="0"/>
        </w:rPr>
        <w:t>单位：万元</w:t>
      </w:r>
      <w:r>
        <w:rPr>
          <w:rFonts w:hint="eastAsia" w:ascii="黑体" w:hAnsi="黑体" w:eastAsia="黑体" w:cs="黑体"/>
          <w:color w:val="auto"/>
          <w:spacing w:val="0"/>
          <w:w w:val="100"/>
          <w:position w:val="0"/>
        </w:rPr>
        <w:t xml:space="preserve">                              </w:t>
      </w:r>
    </w:p>
    <w:p>
      <w:pPr>
        <w:keepNext w:val="0"/>
        <w:keepLines w:val="0"/>
        <w:pageBreakBefore w:val="0"/>
        <w:widowControl w:val="0"/>
        <w:kinsoku/>
        <w:wordWrap/>
        <w:overflowPunct/>
        <w:topLinePunct w:val="0"/>
        <w:autoSpaceDE/>
        <w:autoSpaceDN/>
        <w:bidi w:val="0"/>
        <w:spacing w:line="22" w:lineRule="exact"/>
        <w:rPr>
          <w:color w:val="auto"/>
          <w:spacing w:val="0"/>
          <w:w w:val="100"/>
          <w:position w:val="0"/>
        </w:rPr>
      </w:pPr>
    </w:p>
    <w:tbl>
      <w:tblPr>
        <w:tblStyle w:val="1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4"/>
        <w:gridCol w:w="4097"/>
        <w:gridCol w:w="1122"/>
        <w:gridCol w:w="850"/>
        <w:gridCol w:w="1259"/>
        <w:gridCol w:w="1860"/>
        <w:gridCol w:w="1169"/>
        <w:gridCol w:w="1199"/>
        <w:gridCol w:w="1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444"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olor w:val="auto"/>
                <w:spacing w:val="0"/>
                <w:w w:val="100"/>
                <w:position w:val="0"/>
              </w:rPr>
            </w:pPr>
          </w:p>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单位编码</w:t>
            </w:r>
          </w:p>
        </w:tc>
        <w:tc>
          <w:tcPr>
            <w:tcW w:w="4097"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olor w:val="auto"/>
                <w:spacing w:val="0"/>
                <w:w w:val="100"/>
                <w:position w:val="0"/>
              </w:rPr>
            </w:pPr>
          </w:p>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单位名称</w:t>
            </w:r>
          </w:p>
        </w:tc>
        <w:tc>
          <w:tcPr>
            <w:tcW w:w="1122"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olor w:val="auto"/>
                <w:spacing w:val="0"/>
                <w:w w:val="100"/>
                <w:position w:val="0"/>
              </w:rPr>
            </w:pPr>
          </w:p>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合计</w:t>
            </w:r>
          </w:p>
        </w:tc>
        <w:tc>
          <w:tcPr>
            <w:tcW w:w="3969" w:type="dxa"/>
            <w:gridSpan w:val="3"/>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因公出国（境）费</w:t>
            </w:r>
          </w:p>
        </w:tc>
        <w:tc>
          <w:tcPr>
            <w:tcW w:w="1169"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公务接待费</w:t>
            </w:r>
          </w:p>
        </w:tc>
        <w:tc>
          <w:tcPr>
            <w:tcW w:w="1199"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公务用车</w:t>
            </w:r>
          </w:p>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运行维护费</w:t>
            </w:r>
          </w:p>
        </w:tc>
        <w:tc>
          <w:tcPr>
            <w:tcW w:w="1174"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公务用车</w:t>
            </w:r>
          </w:p>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购置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1444"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olor w:val="auto"/>
                <w:spacing w:val="0"/>
                <w:w w:val="100"/>
                <w:position w:val="0"/>
              </w:rPr>
            </w:pPr>
          </w:p>
        </w:tc>
        <w:tc>
          <w:tcPr>
            <w:tcW w:w="4097"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olor w:val="auto"/>
                <w:spacing w:val="0"/>
                <w:w w:val="100"/>
                <w:position w:val="0"/>
              </w:rPr>
            </w:pPr>
          </w:p>
        </w:tc>
        <w:tc>
          <w:tcPr>
            <w:tcW w:w="1122"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olor w:val="auto"/>
                <w:spacing w:val="0"/>
                <w:w w:val="100"/>
                <w:position w:val="0"/>
              </w:rPr>
            </w:pPr>
          </w:p>
        </w:tc>
        <w:tc>
          <w:tcPr>
            <w:tcW w:w="850"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olor w:val="auto"/>
                <w:spacing w:val="0"/>
                <w:w w:val="100"/>
                <w:position w:val="0"/>
              </w:rPr>
            </w:pPr>
          </w:p>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小计</w:t>
            </w:r>
          </w:p>
        </w:tc>
        <w:tc>
          <w:tcPr>
            <w:tcW w:w="125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一般公务出国（境）费</w:t>
            </w:r>
          </w:p>
        </w:tc>
        <w:tc>
          <w:tcPr>
            <w:tcW w:w="1860"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高等院校和科研院 所学术交流合作出</w:t>
            </w:r>
          </w:p>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国（境）费</w:t>
            </w:r>
          </w:p>
        </w:tc>
        <w:tc>
          <w:tcPr>
            <w:tcW w:w="1169"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olor w:val="auto"/>
                <w:spacing w:val="0"/>
                <w:w w:val="100"/>
                <w:position w:val="0"/>
              </w:rPr>
            </w:pPr>
          </w:p>
        </w:tc>
        <w:tc>
          <w:tcPr>
            <w:tcW w:w="1199"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olor w:val="auto"/>
                <w:spacing w:val="0"/>
                <w:w w:val="100"/>
                <w:position w:val="0"/>
              </w:rPr>
            </w:pPr>
          </w:p>
        </w:tc>
        <w:tc>
          <w:tcPr>
            <w:tcW w:w="1174"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黑体" w:hAnsi="黑体" w:eastAsia="黑体"/>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444"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w:t>
            </w:r>
          </w:p>
        </w:tc>
        <w:tc>
          <w:tcPr>
            <w:tcW w:w="409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w:t>
            </w:r>
          </w:p>
        </w:tc>
        <w:tc>
          <w:tcPr>
            <w:tcW w:w="112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1</w:t>
            </w:r>
          </w:p>
        </w:tc>
        <w:tc>
          <w:tcPr>
            <w:tcW w:w="850"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2</w:t>
            </w:r>
          </w:p>
        </w:tc>
        <w:tc>
          <w:tcPr>
            <w:tcW w:w="125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3</w:t>
            </w:r>
          </w:p>
        </w:tc>
        <w:tc>
          <w:tcPr>
            <w:tcW w:w="1860"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16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5</w:t>
            </w:r>
          </w:p>
        </w:tc>
        <w:tc>
          <w:tcPr>
            <w:tcW w:w="119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6</w:t>
            </w:r>
          </w:p>
        </w:tc>
        <w:tc>
          <w:tcPr>
            <w:tcW w:w="1174"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444"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409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12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850"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25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860"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16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19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174"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bl>
    <w:p>
      <w:pPr>
        <w:keepNext w:val="0"/>
        <w:keepLines w:val="0"/>
        <w:pageBreakBefore w:val="0"/>
        <w:widowControl w:val="0"/>
        <w:kinsoku/>
        <w:wordWrap/>
        <w:overflowPunct/>
        <w:topLinePunct w:val="0"/>
        <w:autoSpaceDE/>
        <w:autoSpaceDN/>
        <w:bidi w:val="0"/>
        <w:rPr>
          <w:rFonts w:ascii="黑体" w:hAnsi="黑体" w:eastAsia="黑体" w:cs="黑体"/>
          <w:color w:val="auto"/>
          <w:spacing w:val="0"/>
          <w:w w:val="100"/>
          <w:position w:val="0"/>
        </w:rPr>
      </w:pPr>
      <w:r>
        <w:rPr>
          <w:rFonts w:ascii="黑体" w:hAnsi="黑体" w:eastAsia="黑体" w:cs="黑体"/>
          <w:color w:val="auto"/>
          <w:spacing w:val="0"/>
          <w:w w:val="100"/>
          <w:position w:val="0"/>
        </w:rPr>
        <w:t>注： 若为空表，则为该部门（单位） 无 "三公 "经费支出</w:t>
      </w: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cs="黑体"/>
          <w:color w:val="auto"/>
          <w:spacing w:val="0"/>
          <w:w w:val="100"/>
          <w:position w:val="0"/>
        </w:rPr>
      </w:pPr>
    </w:p>
    <w:p>
      <w:pPr>
        <w:keepNext w:val="0"/>
        <w:keepLines w:val="0"/>
        <w:pageBreakBefore w:val="0"/>
        <w:widowControl w:val="0"/>
        <w:kinsoku/>
        <w:wordWrap/>
        <w:overflowPunct/>
        <w:topLinePunct w:val="0"/>
        <w:autoSpaceDE/>
        <w:autoSpaceDN/>
        <w:bidi w:val="0"/>
        <w:spacing w:line="560" w:lineRule="exact"/>
        <w:rPr>
          <w:rFonts w:ascii="黑体" w:hAnsi="黑体" w:eastAsia="黑体" w:cs="黑体"/>
          <w:color w:val="auto"/>
          <w:spacing w:val="0"/>
          <w:w w:val="100"/>
          <w:position w:val="0"/>
        </w:rPr>
      </w:pPr>
      <w:r>
        <w:rPr>
          <w:rFonts w:ascii="黑体" w:hAnsi="黑体" w:eastAsia="黑体" w:cs="黑体"/>
          <w:color w:val="auto"/>
          <w:spacing w:val="0"/>
          <w:w w:val="100"/>
          <w:position w:val="0"/>
        </w:rPr>
        <w:br w:type="page"/>
      </w:r>
    </w:p>
    <w:p>
      <w:pPr>
        <w:keepNext w:val="0"/>
        <w:keepLines w:val="0"/>
        <w:pageBreakBefore w:val="0"/>
        <w:widowControl w:val="0"/>
        <w:kinsoku/>
        <w:wordWrap/>
        <w:overflowPunct/>
        <w:topLinePunct w:val="0"/>
        <w:autoSpaceDE/>
        <w:autoSpaceDN/>
        <w:bidi w:val="0"/>
        <w:spacing w:before="44" w:line="203" w:lineRule="auto"/>
        <w:ind w:firstLine="54"/>
        <w:jc w:val="center"/>
        <w:rPr>
          <w:rFonts w:ascii="方正小标宋简体" w:hAnsi="宋体" w:eastAsia="方正小标宋简体" w:cs="宋体"/>
          <w:color w:val="auto"/>
          <w:spacing w:val="0"/>
          <w:w w:val="100"/>
          <w:position w:val="0"/>
          <w:sz w:val="36"/>
          <w:szCs w:val="36"/>
        </w:rPr>
      </w:pPr>
      <w:r>
        <w:rPr>
          <w:rFonts w:ascii="方正小标宋简体" w:hAnsi="宋体" w:eastAsia="方正小标宋简体" w:cs="宋体"/>
          <w:color w:val="auto"/>
          <w:spacing w:val="0"/>
          <w:w w:val="100"/>
          <w:position w:val="0"/>
          <w:sz w:val="36"/>
          <w:szCs w:val="36"/>
        </w:rPr>
        <w:t>政府性基金预算支出表</w:t>
      </w:r>
    </w:p>
    <w:p>
      <w:pPr>
        <w:keepNext w:val="0"/>
        <w:keepLines w:val="0"/>
        <w:pageBreakBefore w:val="0"/>
        <w:widowControl w:val="0"/>
        <w:kinsoku/>
        <w:wordWrap/>
        <w:overflowPunct/>
        <w:topLinePunct w:val="0"/>
        <w:autoSpaceDE/>
        <w:autoSpaceDN/>
        <w:bidi w:val="0"/>
        <w:rPr>
          <w:color w:val="auto"/>
          <w:spacing w:val="0"/>
          <w:w w:val="100"/>
          <w:position w:val="0"/>
        </w:rPr>
      </w:pPr>
      <w:r>
        <w:rPr>
          <w:rFonts w:ascii="黑体" w:hAnsi="黑体" w:eastAsia="黑体" w:cs="黑体"/>
          <w:color w:val="auto"/>
          <w:spacing w:val="0"/>
          <w:w w:val="100"/>
          <w:position w:val="0"/>
        </w:rPr>
        <w:t>填报单位：</w:t>
      </w:r>
      <w:r>
        <w:rPr>
          <w:rFonts w:hint="eastAsia" w:ascii="黑体" w:hAnsi="黑体" w:eastAsia="黑体" w:cs="黑体"/>
          <w:color w:val="auto"/>
          <w:spacing w:val="0"/>
          <w:w w:val="100"/>
          <w:position w:val="0"/>
          <w:lang w:val="en-US" w:eastAsia="zh-CN"/>
        </w:rPr>
        <w:t>南昌市东湖区人民政府董家窑街道办事处</w:t>
      </w:r>
      <w:r>
        <w:rPr>
          <w:rFonts w:hint="eastAsia" w:ascii="黑体" w:hAnsi="黑体" w:eastAsia="黑体" w:cs="黑体"/>
          <w:color w:val="auto"/>
          <w:spacing w:val="0"/>
          <w:w w:val="100"/>
          <w:position w:val="0"/>
        </w:rPr>
        <w:t xml:space="preserve">                                                                     </w:t>
      </w:r>
      <w:r>
        <w:rPr>
          <w:rFonts w:ascii="黑体" w:hAnsi="黑体" w:eastAsia="黑体" w:cs="黑体"/>
          <w:color w:val="auto"/>
          <w:spacing w:val="0"/>
          <w:w w:val="100"/>
          <w:position w:val="0"/>
        </w:rPr>
        <w:t>单位：万元</w:t>
      </w:r>
      <w:r>
        <w:rPr>
          <w:rFonts w:hint="eastAsia" w:ascii="黑体" w:hAnsi="黑体" w:eastAsia="黑体" w:cs="黑体"/>
          <w:color w:val="auto"/>
          <w:spacing w:val="0"/>
          <w:w w:val="100"/>
          <w:position w:val="0"/>
        </w:rPr>
        <w:t xml:space="preserve">                                      </w:t>
      </w:r>
    </w:p>
    <w:tbl>
      <w:tblPr>
        <w:tblStyle w:val="1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4767"/>
        <w:gridCol w:w="2267"/>
        <w:gridCol w:w="2507"/>
        <w:gridCol w:w="25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52"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支出功能分类科目</w:t>
            </w:r>
          </w:p>
        </w:tc>
        <w:tc>
          <w:tcPr>
            <w:tcW w:w="7282" w:type="dxa"/>
            <w:gridSpan w:val="3"/>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2022年预算数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85"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科目编码</w:t>
            </w:r>
          </w:p>
        </w:tc>
        <w:tc>
          <w:tcPr>
            <w:tcW w:w="476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科目名称</w:t>
            </w:r>
          </w:p>
        </w:tc>
        <w:tc>
          <w:tcPr>
            <w:tcW w:w="226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合计</w:t>
            </w:r>
          </w:p>
        </w:tc>
        <w:tc>
          <w:tcPr>
            <w:tcW w:w="250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基本支出</w:t>
            </w:r>
          </w:p>
        </w:tc>
        <w:tc>
          <w:tcPr>
            <w:tcW w:w="250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85"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w:t>
            </w:r>
          </w:p>
        </w:tc>
        <w:tc>
          <w:tcPr>
            <w:tcW w:w="476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w:t>
            </w:r>
          </w:p>
        </w:tc>
        <w:tc>
          <w:tcPr>
            <w:tcW w:w="226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color w:val="auto"/>
                <w:spacing w:val="0"/>
                <w:w w:val="100"/>
                <w:position w:val="0"/>
              </w:rPr>
            </w:pPr>
          </w:p>
        </w:tc>
        <w:tc>
          <w:tcPr>
            <w:tcW w:w="250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2</w:t>
            </w:r>
          </w:p>
        </w:tc>
        <w:tc>
          <w:tcPr>
            <w:tcW w:w="250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85"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功能科目编码</w:t>
            </w:r>
          </w:p>
        </w:tc>
        <w:tc>
          <w:tcPr>
            <w:tcW w:w="476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功能科目名称</w:t>
            </w:r>
          </w:p>
        </w:tc>
        <w:tc>
          <w:tcPr>
            <w:tcW w:w="226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合计</w:t>
            </w:r>
          </w:p>
        </w:tc>
        <w:tc>
          <w:tcPr>
            <w:tcW w:w="250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基本支出</w:t>
            </w:r>
          </w:p>
        </w:tc>
        <w:tc>
          <w:tcPr>
            <w:tcW w:w="250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rFonts w:ascii="黑体" w:hAnsi="黑体" w:eastAsia="黑体" w:cs="宋体"/>
                <w:color w:val="auto"/>
                <w:spacing w:val="0"/>
                <w:w w:val="100"/>
                <w:position w:val="0"/>
              </w:rPr>
            </w:pPr>
            <w:r>
              <w:rPr>
                <w:rFonts w:ascii="黑体" w:hAnsi="黑体" w:eastAsia="黑体" w:cs="宋体"/>
                <w:color w:val="auto"/>
                <w:spacing w:val="0"/>
                <w:w w:val="100"/>
                <w:position w:val="0"/>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85"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color w:val="auto"/>
                <w:spacing w:val="0"/>
                <w:w w:val="100"/>
                <w:position w:val="0"/>
              </w:rPr>
            </w:pPr>
          </w:p>
        </w:tc>
        <w:tc>
          <w:tcPr>
            <w:tcW w:w="476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color w:val="auto"/>
                <w:spacing w:val="0"/>
                <w:w w:val="100"/>
                <w:position w:val="0"/>
              </w:rPr>
            </w:pPr>
          </w:p>
        </w:tc>
        <w:tc>
          <w:tcPr>
            <w:tcW w:w="226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color w:val="auto"/>
                <w:spacing w:val="0"/>
                <w:w w:val="100"/>
                <w:position w:val="0"/>
              </w:rPr>
            </w:pPr>
          </w:p>
        </w:tc>
        <w:tc>
          <w:tcPr>
            <w:tcW w:w="250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color w:val="auto"/>
                <w:spacing w:val="0"/>
                <w:w w:val="100"/>
                <w:position w:val="0"/>
              </w:rPr>
            </w:pPr>
          </w:p>
        </w:tc>
        <w:tc>
          <w:tcPr>
            <w:tcW w:w="250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jc w:val="center"/>
              <w:rPr>
                <w:color w:val="auto"/>
                <w:spacing w:val="0"/>
                <w:w w:val="100"/>
                <w:position w:val="0"/>
              </w:rPr>
            </w:pPr>
          </w:p>
        </w:tc>
      </w:tr>
    </w:tbl>
    <w:p>
      <w:pPr>
        <w:keepNext w:val="0"/>
        <w:keepLines w:val="0"/>
        <w:pageBreakBefore w:val="0"/>
        <w:widowControl w:val="0"/>
        <w:kinsoku/>
        <w:wordWrap/>
        <w:overflowPunct/>
        <w:topLinePunct w:val="0"/>
        <w:autoSpaceDE/>
        <w:autoSpaceDN/>
        <w:bidi w:val="0"/>
        <w:rPr>
          <w:rFonts w:ascii="黑体" w:hAnsi="黑体" w:eastAsia="黑体" w:cs="黑体"/>
          <w:color w:val="auto"/>
          <w:spacing w:val="0"/>
          <w:w w:val="100"/>
          <w:position w:val="0"/>
        </w:rPr>
      </w:pPr>
      <w:r>
        <w:rPr>
          <w:rFonts w:ascii="黑体" w:hAnsi="黑体" w:eastAsia="黑体" w:cs="黑体"/>
          <w:color w:val="auto"/>
          <w:spacing w:val="0"/>
          <w:w w:val="100"/>
          <w:position w:val="0"/>
        </w:rPr>
        <w:t>注： 若为空表，则为该部门（单位） 无政府性基金收支</w:t>
      </w: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cs="黑体"/>
          <w:color w:val="auto"/>
          <w:spacing w:val="0"/>
          <w:w w:val="100"/>
          <w:position w:val="0"/>
        </w:rPr>
      </w:pPr>
      <w:r>
        <w:rPr>
          <w:rFonts w:ascii="黑体" w:hAnsi="黑体" w:eastAsia="黑体" w:cs="黑体"/>
          <w:color w:val="auto"/>
          <w:spacing w:val="0"/>
          <w:w w:val="100"/>
          <w:position w:val="0"/>
        </w:rPr>
        <w:br w:type="page"/>
      </w:r>
    </w:p>
    <w:p>
      <w:pPr>
        <w:keepNext w:val="0"/>
        <w:keepLines w:val="0"/>
        <w:pageBreakBefore w:val="0"/>
        <w:widowControl w:val="0"/>
        <w:kinsoku/>
        <w:wordWrap/>
        <w:overflowPunct/>
        <w:topLinePunct w:val="0"/>
        <w:autoSpaceDE/>
        <w:autoSpaceDN/>
        <w:bidi w:val="0"/>
        <w:spacing w:before="44" w:line="203" w:lineRule="auto"/>
        <w:ind w:firstLine="54"/>
        <w:jc w:val="center"/>
        <w:rPr>
          <w:color w:val="auto"/>
          <w:spacing w:val="0"/>
          <w:w w:val="100"/>
          <w:position w:val="0"/>
        </w:rPr>
      </w:pPr>
      <w:r>
        <w:rPr>
          <w:rFonts w:ascii="方正小标宋简体" w:hAnsi="宋体" w:eastAsia="方正小标宋简体" w:cs="宋体"/>
          <w:color w:val="auto"/>
          <w:spacing w:val="0"/>
          <w:w w:val="100"/>
          <w:position w:val="0"/>
          <w:sz w:val="36"/>
          <w:szCs w:val="36"/>
        </w:rPr>
        <w:t>国有资本经营预算支出表</w:t>
      </w:r>
    </w:p>
    <w:p>
      <w:pPr>
        <w:keepNext w:val="0"/>
        <w:keepLines w:val="0"/>
        <w:pageBreakBefore w:val="0"/>
        <w:widowControl w:val="0"/>
        <w:kinsoku/>
        <w:wordWrap/>
        <w:overflowPunct/>
        <w:topLinePunct w:val="0"/>
        <w:autoSpaceDE/>
        <w:autoSpaceDN/>
        <w:bidi w:val="0"/>
        <w:rPr>
          <w:color w:val="auto"/>
          <w:spacing w:val="0"/>
          <w:w w:val="100"/>
          <w:position w:val="0"/>
        </w:rPr>
      </w:pPr>
      <w:r>
        <w:rPr>
          <w:rFonts w:ascii="黑体" w:hAnsi="黑体" w:eastAsia="黑体" w:cs="黑体"/>
          <w:color w:val="auto"/>
          <w:spacing w:val="0"/>
          <w:w w:val="100"/>
          <w:position w:val="0"/>
        </w:rPr>
        <w:t>填报单位：</w:t>
      </w:r>
      <w:r>
        <w:rPr>
          <w:rFonts w:hint="eastAsia" w:ascii="黑体" w:hAnsi="黑体" w:eastAsia="黑体" w:cs="黑体"/>
          <w:color w:val="auto"/>
          <w:spacing w:val="0"/>
          <w:w w:val="100"/>
          <w:position w:val="0"/>
          <w:lang w:val="en-US" w:eastAsia="zh-CN"/>
        </w:rPr>
        <w:t>南昌市东湖区人民政府董家窑街道办事处</w:t>
      </w:r>
      <w:r>
        <w:rPr>
          <w:rFonts w:hint="eastAsia" w:ascii="黑体" w:hAnsi="黑体" w:eastAsia="黑体" w:cs="黑体"/>
          <w:color w:val="auto"/>
          <w:spacing w:val="0"/>
          <w:w w:val="100"/>
          <w:position w:val="0"/>
        </w:rPr>
        <w:t xml:space="preserve">                                                                      </w:t>
      </w:r>
      <w:r>
        <w:rPr>
          <w:rFonts w:ascii="黑体" w:hAnsi="黑体" w:eastAsia="黑体" w:cs="黑体"/>
          <w:color w:val="auto"/>
          <w:spacing w:val="0"/>
          <w:w w:val="100"/>
          <w:position w:val="0"/>
        </w:rPr>
        <w:t>单位：万元</w:t>
      </w:r>
      <w:r>
        <w:rPr>
          <w:rFonts w:hint="eastAsia" w:ascii="黑体" w:hAnsi="黑体" w:eastAsia="黑体" w:cs="黑体"/>
          <w:color w:val="auto"/>
          <w:spacing w:val="0"/>
          <w:w w:val="100"/>
          <w:position w:val="0"/>
        </w:rPr>
        <w:t xml:space="preserve">                                     </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3"/>
        <w:gridCol w:w="4777"/>
        <w:gridCol w:w="2325"/>
        <w:gridCol w:w="2409"/>
        <w:gridCol w:w="2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20"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支出功能分类科目</w:t>
            </w:r>
          </w:p>
        </w:tc>
        <w:tc>
          <w:tcPr>
            <w:tcW w:w="7428" w:type="dxa"/>
            <w:gridSpan w:val="3"/>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2022年预算数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科目编码</w:t>
            </w:r>
          </w:p>
        </w:tc>
        <w:tc>
          <w:tcPr>
            <w:tcW w:w="477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科目名称</w:t>
            </w:r>
          </w:p>
        </w:tc>
        <w:tc>
          <w:tcPr>
            <w:tcW w:w="2325"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合计</w:t>
            </w:r>
          </w:p>
        </w:tc>
        <w:tc>
          <w:tcPr>
            <w:tcW w:w="240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基本支出</w:t>
            </w:r>
          </w:p>
        </w:tc>
        <w:tc>
          <w:tcPr>
            <w:tcW w:w="2694"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w:t>
            </w:r>
          </w:p>
        </w:tc>
        <w:tc>
          <w:tcPr>
            <w:tcW w:w="477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*来</w:t>
            </w:r>
          </w:p>
        </w:tc>
        <w:tc>
          <w:tcPr>
            <w:tcW w:w="2325"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40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2</w:t>
            </w:r>
          </w:p>
        </w:tc>
        <w:tc>
          <w:tcPr>
            <w:tcW w:w="2694"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功能科目编码</w:t>
            </w:r>
          </w:p>
        </w:tc>
        <w:tc>
          <w:tcPr>
            <w:tcW w:w="477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功能科目名称</w:t>
            </w:r>
          </w:p>
        </w:tc>
        <w:tc>
          <w:tcPr>
            <w:tcW w:w="2325"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合计</w:t>
            </w:r>
          </w:p>
        </w:tc>
        <w:tc>
          <w:tcPr>
            <w:tcW w:w="240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基本支出</w:t>
            </w:r>
          </w:p>
        </w:tc>
        <w:tc>
          <w:tcPr>
            <w:tcW w:w="2694"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477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325"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40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694"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bl>
    <w:p>
      <w:pPr>
        <w:keepNext w:val="0"/>
        <w:keepLines w:val="0"/>
        <w:pageBreakBefore w:val="0"/>
        <w:widowControl w:val="0"/>
        <w:kinsoku/>
        <w:wordWrap/>
        <w:overflowPunct/>
        <w:topLinePunct w:val="0"/>
        <w:autoSpaceDE/>
        <w:autoSpaceDN/>
        <w:bidi w:val="0"/>
        <w:rPr>
          <w:rFonts w:ascii="黑体" w:hAnsi="黑体" w:eastAsia="黑体" w:cs="黑体"/>
          <w:color w:val="auto"/>
          <w:spacing w:val="0"/>
          <w:w w:val="100"/>
          <w:position w:val="0"/>
        </w:rPr>
      </w:pPr>
      <w:r>
        <w:rPr>
          <w:rFonts w:ascii="黑体" w:hAnsi="黑体" w:eastAsia="黑体" w:cs="黑体"/>
          <w:color w:val="auto"/>
          <w:spacing w:val="0"/>
          <w:w w:val="100"/>
          <w:position w:val="0"/>
        </w:rPr>
        <w:t>注： 若为空表 ，则为该部门 （单位） 无国有资本经营预算收支</w:t>
      </w:r>
    </w:p>
    <w:p>
      <w:pPr>
        <w:keepNext w:val="0"/>
        <w:keepLines w:val="0"/>
        <w:pageBreakBefore w:val="0"/>
        <w:widowControl w:val="0"/>
        <w:kinsoku/>
        <w:wordWrap/>
        <w:overflowPunct/>
        <w:topLinePunct w:val="0"/>
        <w:autoSpaceDE/>
        <w:autoSpaceDN/>
        <w:bidi w:val="0"/>
        <w:spacing w:line="560" w:lineRule="exact"/>
        <w:rPr>
          <w:rFonts w:ascii="宋体" w:hAnsi="宋体" w:eastAsia="宋体" w:cs="宋体"/>
          <w:color w:val="auto"/>
          <w:spacing w:val="0"/>
          <w:w w:val="100"/>
          <w:position w:val="0"/>
        </w:rPr>
      </w:pPr>
    </w:p>
    <w:p>
      <w:pPr>
        <w:keepNext w:val="0"/>
        <w:keepLines w:val="0"/>
        <w:pageBreakBefore w:val="0"/>
        <w:widowControl w:val="0"/>
        <w:kinsoku/>
        <w:wordWrap/>
        <w:overflowPunct/>
        <w:topLinePunct w:val="0"/>
        <w:autoSpaceDE/>
        <w:autoSpaceDN/>
        <w:bidi w:val="0"/>
        <w:spacing w:line="560" w:lineRule="exact"/>
        <w:rPr>
          <w:rFonts w:ascii="宋体" w:hAnsi="宋体" w:eastAsia="宋体" w:cs="宋体"/>
          <w:color w:val="auto"/>
          <w:spacing w:val="0"/>
          <w:w w:val="100"/>
          <w:position w:val="0"/>
        </w:rPr>
      </w:pPr>
    </w:p>
    <w:p>
      <w:pPr>
        <w:keepNext w:val="0"/>
        <w:keepLines w:val="0"/>
        <w:pageBreakBefore w:val="0"/>
        <w:widowControl w:val="0"/>
        <w:kinsoku/>
        <w:wordWrap/>
        <w:overflowPunct/>
        <w:topLinePunct w:val="0"/>
        <w:autoSpaceDE/>
        <w:autoSpaceDN/>
        <w:bidi w:val="0"/>
        <w:spacing w:line="560" w:lineRule="exact"/>
        <w:rPr>
          <w:rFonts w:ascii="宋体" w:hAnsi="宋体" w:eastAsia="宋体" w:cs="宋体"/>
          <w:color w:val="auto"/>
          <w:spacing w:val="0"/>
          <w:w w:val="100"/>
          <w:position w:val="0"/>
        </w:rPr>
      </w:pPr>
    </w:p>
    <w:p>
      <w:pPr>
        <w:keepNext w:val="0"/>
        <w:keepLines w:val="0"/>
        <w:pageBreakBefore w:val="0"/>
        <w:widowControl w:val="0"/>
        <w:kinsoku/>
        <w:wordWrap/>
        <w:overflowPunct/>
        <w:topLinePunct w:val="0"/>
        <w:autoSpaceDE/>
        <w:autoSpaceDN/>
        <w:bidi w:val="0"/>
        <w:spacing w:line="560" w:lineRule="exact"/>
        <w:rPr>
          <w:rFonts w:ascii="宋体" w:hAnsi="宋体" w:eastAsia="宋体" w:cs="宋体"/>
          <w:color w:val="auto"/>
          <w:spacing w:val="0"/>
          <w:w w:val="100"/>
          <w:position w:val="0"/>
        </w:rPr>
      </w:pPr>
    </w:p>
    <w:p>
      <w:pPr>
        <w:keepNext w:val="0"/>
        <w:keepLines w:val="0"/>
        <w:pageBreakBefore w:val="0"/>
        <w:widowControl w:val="0"/>
        <w:kinsoku/>
        <w:wordWrap/>
        <w:overflowPunct/>
        <w:topLinePunct w:val="0"/>
        <w:autoSpaceDE/>
        <w:autoSpaceDN/>
        <w:bidi w:val="0"/>
        <w:spacing w:line="560" w:lineRule="exact"/>
        <w:rPr>
          <w:rFonts w:ascii="宋体" w:hAnsi="宋体" w:eastAsia="宋体" w:cs="宋体"/>
          <w:color w:val="auto"/>
          <w:spacing w:val="0"/>
          <w:w w:val="100"/>
          <w:position w:val="0"/>
        </w:rPr>
        <w:sectPr>
          <w:pgSz w:w="16838" w:h="11905" w:orient="landscape"/>
          <w:pgMar w:top="1757" w:right="1701" w:bottom="1757" w:left="1701" w:header="0" w:footer="0" w:gutter="0"/>
          <w:pgNumType w:fmt="numberInDash"/>
          <w:cols w:space="720" w:num="1"/>
          <w:rtlGutter w:val="0"/>
          <w:docGrid w:linePitch="286" w:charSpace="0"/>
        </w:sectPr>
      </w:pPr>
    </w:p>
    <w:p>
      <w:pPr>
        <w:keepNext w:val="0"/>
        <w:keepLines w:val="0"/>
        <w:pageBreakBefore w:val="0"/>
        <w:widowControl w:val="0"/>
        <w:kinsoku/>
        <w:wordWrap/>
        <w:overflowPunct/>
        <w:topLinePunct w:val="0"/>
        <w:autoSpaceDE/>
        <w:autoSpaceDN/>
        <w:bidi w:val="0"/>
        <w:spacing w:line="560" w:lineRule="exact"/>
        <w:rPr>
          <w:rFonts w:ascii="黑体" w:hAnsi="黑体" w:eastAsia="黑体" w:cs="黑体"/>
          <w:color w:val="auto"/>
          <w:spacing w:val="0"/>
          <w:w w:val="100"/>
          <w:position w:val="0"/>
        </w:rPr>
      </w:pPr>
    </w:p>
    <w:p>
      <w:pPr>
        <w:keepNext w:val="0"/>
        <w:keepLines w:val="0"/>
        <w:pageBreakBefore w:val="0"/>
        <w:widowControl w:val="0"/>
        <w:kinsoku/>
        <w:wordWrap/>
        <w:overflowPunct/>
        <w:topLinePunct w:val="0"/>
        <w:autoSpaceDE/>
        <w:autoSpaceDN/>
        <w:bidi w:val="0"/>
        <w:spacing w:before="44" w:line="203" w:lineRule="auto"/>
        <w:ind w:firstLine="54"/>
        <w:jc w:val="center"/>
        <w:rPr>
          <w:rFonts w:ascii="方正小标宋简体" w:hAnsi="宋体" w:eastAsia="方正小标宋简体" w:cs="宋体"/>
          <w:color w:val="auto"/>
          <w:spacing w:val="0"/>
          <w:w w:val="100"/>
          <w:position w:val="0"/>
          <w:sz w:val="36"/>
          <w:szCs w:val="36"/>
        </w:rPr>
      </w:pPr>
      <w:r>
        <w:rPr>
          <w:rFonts w:ascii="方正小标宋简体" w:hAnsi="宋体" w:eastAsia="方正小标宋简体" w:cs="宋体"/>
          <w:color w:val="auto"/>
          <w:spacing w:val="0"/>
          <w:w w:val="100"/>
          <w:position w:val="0"/>
          <w:sz w:val="36"/>
          <w:szCs w:val="36"/>
        </w:rPr>
        <w:t>项目支出绩效目标表（</w:t>
      </w:r>
      <w:r>
        <w:rPr>
          <w:rFonts w:hint="eastAsia" w:ascii="方正小标宋简体" w:hAnsi="宋体" w:eastAsia="方正小标宋简体" w:cs="宋体"/>
          <w:color w:val="auto"/>
          <w:spacing w:val="0"/>
          <w:w w:val="100"/>
          <w:position w:val="0"/>
          <w:sz w:val="36"/>
          <w:szCs w:val="36"/>
          <w:lang w:eastAsia="zh-CN"/>
        </w:rPr>
        <w:t>2024年</w:t>
      </w:r>
      <w:r>
        <w:rPr>
          <w:rFonts w:ascii="方正小标宋简体" w:hAnsi="宋体" w:eastAsia="方正小标宋简体" w:cs="宋体"/>
          <w:color w:val="auto"/>
          <w:spacing w:val="0"/>
          <w:w w:val="100"/>
          <w:position w:val="0"/>
          <w:sz w:val="36"/>
          <w:szCs w:val="36"/>
        </w:rPr>
        <w:t>度）</w:t>
      </w:r>
    </w:p>
    <w:p>
      <w:pPr>
        <w:keepNext w:val="0"/>
        <w:keepLines w:val="0"/>
        <w:pageBreakBefore w:val="0"/>
        <w:widowControl w:val="0"/>
        <w:kinsoku/>
        <w:wordWrap/>
        <w:overflowPunct/>
        <w:topLinePunct w:val="0"/>
        <w:autoSpaceDE/>
        <w:autoSpaceDN/>
        <w:bidi w:val="0"/>
        <w:rPr>
          <w:color w:val="auto"/>
          <w:spacing w:val="0"/>
          <w:w w:val="100"/>
          <w:position w:val="0"/>
        </w:rPr>
      </w:pP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7"/>
        <w:gridCol w:w="1436"/>
        <w:gridCol w:w="2018"/>
        <w:gridCol w:w="1499"/>
        <w:gridCol w:w="29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项目名称</w:t>
            </w:r>
          </w:p>
        </w:tc>
        <w:tc>
          <w:tcPr>
            <w:tcW w:w="6429" w:type="dxa"/>
            <w:gridSpan w:val="3"/>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r>
              <w:rPr>
                <w:rFonts w:hint="eastAsia" w:ascii="黑体" w:hAnsi="黑体" w:eastAsia="黑体" w:cs="黑体"/>
                <w:color w:val="auto"/>
                <w:spacing w:val="0"/>
                <w:w w:val="100"/>
                <w:position w:val="0"/>
                <w:lang w:val="en-US" w:eastAsia="zh-CN"/>
              </w:rPr>
              <w:t>南昌市东湖区人民政府董家窑街道办事处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主管部门</w:t>
            </w:r>
          </w:p>
        </w:tc>
        <w:tc>
          <w:tcPr>
            <w:tcW w:w="201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499"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实施单位</w:t>
            </w: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项目属性</w:t>
            </w:r>
          </w:p>
        </w:tc>
        <w:tc>
          <w:tcPr>
            <w:tcW w:w="2018"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当年项目</w:t>
            </w:r>
          </w:p>
        </w:tc>
        <w:tc>
          <w:tcPr>
            <w:tcW w:w="1499"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项目日期范围</w:t>
            </w: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018"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499"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项目资金</w:t>
            </w:r>
          </w:p>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（万元）</w:t>
            </w:r>
          </w:p>
        </w:tc>
        <w:tc>
          <w:tcPr>
            <w:tcW w:w="201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年度资金总额</w:t>
            </w:r>
          </w:p>
        </w:tc>
        <w:tc>
          <w:tcPr>
            <w:tcW w:w="4411"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01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其中：财政拨款</w:t>
            </w:r>
          </w:p>
        </w:tc>
        <w:tc>
          <w:tcPr>
            <w:tcW w:w="4411"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018"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其他资金</w:t>
            </w:r>
          </w:p>
        </w:tc>
        <w:tc>
          <w:tcPr>
            <w:tcW w:w="4411"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012" w:type="dxa"/>
            <w:gridSpan w:val="5"/>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年度绩效目标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7" w:hRule="atLeast"/>
          <w:jc w:val="center"/>
        </w:trPr>
        <w:tc>
          <w:tcPr>
            <w:tcW w:w="9012" w:type="dxa"/>
            <w:gridSpan w:val="5"/>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一级指标</w:t>
            </w:r>
          </w:p>
        </w:tc>
        <w:tc>
          <w:tcPr>
            <w:tcW w:w="1436"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二级指标</w:t>
            </w: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三级指标</w:t>
            </w: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产出指标</w:t>
            </w:r>
          </w:p>
        </w:tc>
        <w:tc>
          <w:tcPr>
            <w:tcW w:w="1436"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数量</w:t>
            </w: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436"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436"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质量</w:t>
            </w: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436"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436"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时效</w:t>
            </w: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436"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成本</w:t>
            </w: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436"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restart"/>
            <w:tcBorders>
              <w:top w:val="single" w:color="000000" w:sz="2" w:space="0"/>
              <w:bottom w:val="nil"/>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效益指标</w:t>
            </w:r>
          </w:p>
        </w:tc>
        <w:tc>
          <w:tcPr>
            <w:tcW w:w="1436"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社会效益</w:t>
            </w: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1436"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可持续影响</w:t>
            </w: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满意度</w:t>
            </w:r>
          </w:p>
        </w:tc>
        <w:tc>
          <w:tcPr>
            <w:tcW w:w="1436"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rFonts w:ascii="宋体" w:hAnsi="宋体" w:eastAsia="宋体" w:cs="宋体"/>
                <w:color w:val="auto"/>
                <w:spacing w:val="0"/>
                <w:w w:val="100"/>
                <w:position w:val="0"/>
              </w:rPr>
            </w:pPr>
            <w:r>
              <w:rPr>
                <w:rFonts w:ascii="宋体" w:hAnsi="宋体" w:eastAsia="宋体" w:cs="宋体"/>
                <w:color w:val="auto"/>
                <w:spacing w:val="0"/>
                <w:w w:val="100"/>
                <w:position w:val="0"/>
              </w:rPr>
              <w:t>满意度</w:t>
            </w:r>
          </w:p>
        </w:tc>
        <w:tc>
          <w:tcPr>
            <w:tcW w:w="3517" w:type="dxa"/>
            <w:gridSpan w:val="2"/>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c>
          <w:tcPr>
            <w:tcW w:w="2912" w:type="dxa"/>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ind w:left="42" w:leftChars="20" w:right="42" w:rightChars="20"/>
              <w:jc w:val="center"/>
              <w:rPr>
                <w:color w:val="auto"/>
                <w:spacing w:val="0"/>
                <w:w w:val="100"/>
                <w:position w:val="0"/>
              </w:rPr>
            </w:pPr>
          </w:p>
        </w:tc>
      </w:tr>
    </w:tbl>
    <w:p>
      <w:pPr>
        <w:keepNext w:val="0"/>
        <w:keepLines w:val="0"/>
        <w:pageBreakBefore w:val="0"/>
        <w:widowControl w:val="0"/>
        <w:kinsoku/>
        <w:wordWrap/>
        <w:overflowPunct/>
        <w:topLinePunct w:val="0"/>
        <w:autoSpaceDE/>
        <w:autoSpaceDN/>
        <w:bidi w:val="0"/>
        <w:rPr>
          <w:color w:val="auto"/>
          <w:spacing w:val="0"/>
          <w:w w:val="100"/>
          <w:position w:val="0"/>
        </w:rPr>
      </w:pPr>
    </w:p>
    <w:sectPr>
      <w:pgSz w:w="11905" w:h="16838"/>
      <w:pgMar w:top="1701" w:right="1757" w:bottom="1701" w:left="1757" w:header="0" w:footer="0" w:gutter="0"/>
      <w:pgNumType w:fmt="numberInDash"/>
      <w:cols w:space="720" w:num="1"/>
      <w:rtlGutter w:val="0"/>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7CB829-077F-4E43-AF44-C836DC89DEA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2" w:fontKey="{3797CCF7-C701-40CA-B95F-9AAC24B820F9}"/>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rPr>
      <w:t>- 3 -</w:t>
    </w:r>
    <w:r>
      <w:rPr>
        <w:rFonts w:ascii="宋体" w:hAns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1B1543"/>
    <w:multiLevelType w:val="singleLevel"/>
    <w:tmpl w:val="2C1B1543"/>
    <w:lvl w:ilvl="0" w:tentative="0">
      <w:start w:val="1"/>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hyphenationZone w:val="360"/>
  <w:drawingGridHorizontalSpacing w:val="105"/>
  <w:displayHorizontalDrawingGridEvery w:val="1"/>
  <w:displayVerticalDrawingGridEvery w:val="1"/>
  <w:noPunctuationKerning w:val="1"/>
  <w:characterSpacingControl w:val="doNotCompress"/>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7A2EEF"/>
    <w:rsid w:val="000C1FF9"/>
    <w:rsid w:val="000E6280"/>
    <w:rsid w:val="001233D7"/>
    <w:rsid w:val="00270BE1"/>
    <w:rsid w:val="0028001C"/>
    <w:rsid w:val="002A269C"/>
    <w:rsid w:val="0035240E"/>
    <w:rsid w:val="0038587E"/>
    <w:rsid w:val="003867C6"/>
    <w:rsid w:val="005E29A4"/>
    <w:rsid w:val="005F56AC"/>
    <w:rsid w:val="00665BAD"/>
    <w:rsid w:val="007A2EEF"/>
    <w:rsid w:val="007A52B1"/>
    <w:rsid w:val="008702A5"/>
    <w:rsid w:val="008C6F9A"/>
    <w:rsid w:val="00907BBF"/>
    <w:rsid w:val="0093469F"/>
    <w:rsid w:val="009D6BFE"/>
    <w:rsid w:val="00A61D72"/>
    <w:rsid w:val="00C94350"/>
    <w:rsid w:val="00EC50FD"/>
    <w:rsid w:val="00F9723E"/>
    <w:rsid w:val="00FE7573"/>
    <w:rsid w:val="01691A16"/>
    <w:rsid w:val="01B85F94"/>
    <w:rsid w:val="01DD59FB"/>
    <w:rsid w:val="0228778A"/>
    <w:rsid w:val="029D1A04"/>
    <w:rsid w:val="02B52F2E"/>
    <w:rsid w:val="032B375B"/>
    <w:rsid w:val="03822237"/>
    <w:rsid w:val="03CE5F43"/>
    <w:rsid w:val="03D55BD9"/>
    <w:rsid w:val="04357D70"/>
    <w:rsid w:val="04D754BC"/>
    <w:rsid w:val="05317378"/>
    <w:rsid w:val="05687EAE"/>
    <w:rsid w:val="05BC1993"/>
    <w:rsid w:val="06E55C44"/>
    <w:rsid w:val="07706CF7"/>
    <w:rsid w:val="077251A3"/>
    <w:rsid w:val="07A46156"/>
    <w:rsid w:val="08713341"/>
    <w:rsid w:val="08AC2EDD"/>
    <w:rsid w:val="08BE37CC"/>
    <w:rsid w:val="08C142FF"/>
    <w:rsid w:val="08DF0B3D"/>
    <w:rsid w:val="09D75426"/>
    <w:rsid w:val="0A961280"/>
    <w:rsid w:val="0A9E6890"/>
    <w:rsid w:val="0B52745A"/>
    <w:rsid w:val="0C2F46B8"/>
    <w:rsid w:val="0C6A432F"/>
    <w:rsid w:val="0C725B56"/>
    <w:rsid w:val="0C8E44C1"/>
    <w:rsid w:val="0CAC4948"/>
    <w:rsid w:val="0CFB767D"/>
    <w:rsid w:val="0D904269"/>
    <w:rsid w:val="0DB02216"/>
    <w:rsid w:val="0DDD72C7"/>
    <w:rsid w:val="0E3969D8"/>
    <w:rsid w:val="0EAA135B"/>
    <w:rsid w:val="0F036722"/>
    <w:rsid w:val="0F545383"/>
    <w:rsid w:val="0F9475BE"/>
    <w:rsid w:val="0FDA5C70"/>
    <w:rsid w:val="10054DA7"/>
    <w:rsid w:val="100C3CA5"/>
    <w:rsid w:val="10481722"/>
    <w:rsid w:val="11131AAF"/>
    <w:rsid w:val="113504F7"/>
    <w:rsid w:val="116B365C"/>
    <w:rsid w:val="119A06A2"/>
    <w:rsid w:val="120B3EBE"/>
    <w:rsid w:val="12DC64FA"/>
    <w:rsid w:val="13FA5EF4"/>
    <w:rsid w:val="143A0A8B"/>
    <w:rsid w:val="1537321C"/>
    <w:rsid w:val="15DB743E"/>
    <w:rsid w:val="16361726"/>
    <w:rsid w:val="17AC7EF2"/>
    <w:rsid w:val="180C5D0A"/>
    <w:rsid w:val="18BF5A03"/>
    <w:rsid w:val="192F13FC"/>
    <w:rsid w:val="19750880"/>
    <w:rsid w:val="19921369"/>
    <w:rsid w:val="1A0969D3"/>
    <w:rsid w:val="1A6745A4"/>
    <w:rsid w:val="1AE247A0"/>
    <w:rsid w:val="1B4072CF"/>
    <w:rsid w:val="1B632FBD"/>
    <w:rsid w:val="1BCF4C33"/>
    <w:rsid w:val="1BCF7DE9"/>
    <w:rsid w:val="1C0F0A4F"/>
    <w:rsid w:val="1C1B0A9A"/>
    <w:rsid w:val="1DBC1886"/>
    <w:rsid w:val="1DD106B2"/>
    <w:rsid w:val="1DE238BC"/>
    <w:rsid w:val="1DE36CC0"/>
    <w:rsid w:val="1EA90CE7"/>
    <w:rsid w:val="1EEE0DF0"/>
    <w:rsid w:val="1F633239"/>
    <w:rsid w:val="1F70408C"/>
    <w:rsid w:val="206C5445"/>
    <w:rsid w:val="21366A7E"/>
    <w:rsid w:val="21E87D78"/>
    <w:rsid w:val="23453FA1"/>
    <w:rsid w:val="237114CC"/>
    <w:rsid w:val="238507A2"/>
    <w:rsid w:val="23DC58D9"/>
    <w:rsid w:val="24C21928"/>
    <w:rsid w:val="24EB2A4F"/>
    <w:rsid w:val="25162E4E"/>
    <w:rsid w:val="25182615"/>
    <w:rsid w:val="25805630"/>
    <w:rsid w:val="25845C69"/>
    <w:rsid w:val="25967131"/>
    <w:rsid w:val="25F70A4A"/>
    <w:rsid w:val="26296BB1"/>
    <w:rsid w:val="26A5448A"/>
    <w:rsid w:val="26E92DBB"/>
    <w:rsid w:val="270F5DA7"/>
    <w:rsid w:val="27484602"/>
    <w:rsid w:val="2761728D"/>
    <w:rsid w:val="279A1B15"/>
    <w:rsid w:val="27E330E0"/>
    <w:rsid w:val="288F4F0C"/>
    <w:rsid w:val="28D50537"/>
    <w:rsid w:val="28E15521"/>
    <w:rsid w:val="29057462"/>
    <w:rsid w:val="2A703001"/>
    <w:rsid w:val="2A84161B"/>
    <w:rsid w:val="2B4C75CA"/>
    <w:rsid w:val="2C02412C"/>
    <w:rsid w:val="2C071C0F"/>
    <w:rsid w:val="2C4B162F"/>
    <w:rsid w:val="2CAB7921"/>
    <w:rsid w:val="2D1B777C"/>
    <w:rsid w:val="2D5C5ABE"/>
    <w:rsid w:val="2DB9142A"/>
    <w:rsid w:val="2DF301D1"/>
    <w:rsid w:val="2E5871CB"/>
    <w:rsid w:val="2E690493"/>
    <w:rsid w:val="2E945AE0"/>
    <w:rsid w:val="2EC12331"/>
    <w:rsid w:val="2EF31F11"/>
    <w:rsid w:val="2F8C268B"/>
    <w:rsid w:val="2FA84FEB"/>
    <w:rsid w:val="2FC11C09"/>
    <w:rsid w:val="2FFF0249"/>
    <w:rsid w:val="300D4258"/>
    <w:rsid w:val="303C1274"/>
    <w:rsid w:val="307A24E3"/>
    <w:rsid w:val="30DB52C0"/>
    <w:rsid w:val="31660CB9"/>
    <w:rsid w:val="33A91086"/>
    <w:rsid w:val="346534AA"/>
    <w:rsid w:val="34AA5361"/>
    <w:rsid w:val="34C53772"/>
    <w:rsid w:val="35F5677F"/>
    <w:rsid w:val="360D0596"/>
    <w:rsid w:val="37943378"/>
    <w:rsid w:val="38B06316"/>
    <w:rsid w:val="38EB0DB2"/>
    <w:rsid w:val="39260D54"/>
    <w:rsid w:val="39451D3A"/>
    <w:rsid w:val="395526A6"/>
    <w:rsid w:val="39A3465A"/>
    <w:rsid w:val="39E155F7"/>
    <w:rsid w:val="39F03816"/>
    <w:rsid w:val="3A1F310B"/>
    <w:rsid w:val="3B422129"/>
    <w:rsid w:val="3B533939"/>
    <w:rsid w:val="3BAC7C11"/>
    <w:rsid w:val="3C382151"/>
    <w:rsid w:val="3C496A1C"/>
    <w:rsid w:val="3C9618E6"/>
    <w:rsid w:val="3C9E62F2"/>
    <w:rsid w:val="3CA94508"/>
    <w:rsid w:val="3CE90F7A"/>
    <w:rsid w:val="3D0D307C"/>
    <w:rsid w:val="3D280E27"/>
    <w:rsid w:val="3D570543"/>
    <w:rsid w:val="3D9C5244"/>
    <w:rsid w:val="3DA74B34"/>
    <w:rsid w:val="3DE23C97"/>
    <w:rsid w:val="3E0C0F2C"/>
    <w:rsid w:val="3E2C6DE7"/>
    <w:rsid w:val="3E304B29"/>
    <w:rsid w:val="3E312F90"/>
    <w:rsid w:val="3E6D4ECD"/>
    <w:rsid w:val="3ECB3B35"/>
    <w:rsid w:val="3EE004CF"/>
    <w:rsid w:val="402C1483"/>
    <w:rsid w:val="407C7C6C"/>
    <w:rsid w:val="409D6291"/>
    <w:rsid w:val="410302D3"/>
    <w:rsid w:val="433B67EB"/>
    <w:rsid w:val="434877D8"/>
    <w:rsid w:val="440F5D7E"/>
    <w:rsid w:val="442671A9"/>
    <w:rsid w:val="443D5D13"/>
    <w:rsid w:val="4447741F"/>
    <w:rsid w:val="44562E10"/>
    <w:rsid w:val="445B6E58"/>
    <w:rsid w:val="449D4235"/>
    <w:rsid w:val="44FF7003"/>
    <w:rsid w:val="4588349D"/>
    <w:rsid w:val="45C269AF"/>
    <w:rsid w:val="463905B1"/>
    <w:rsid w:val="466D002A"/>
    <w:rsid w:val="46950FAC"/>
    <w:rsid w:val="46C6602A"/>
    <w:rsid w:val="46D760FC"/>
    <w:rsid w:val="46EB0B22"/>
    <w:rsid w:val="46F96A11"/>
    <w:rsid w:val="47806F56"/>
    <w:rsid w:val="478563C6"/>
    <w:rsid w:val="488F0C66"/>
    <w:rsid w:val="48BB76E5"/>
    <w:rsid w:val="48CD0933"/>
    <w:rsid w:val="497B26BB"/>
    <w:rsid w:val="49D81BD6"/>
    <w:rsid w:val="4A1D0657"/>
    <w:rsid w:val="4A7F4957"/>
    <w:rsid w:val="4AA2290B"/>
    <w:rsid w:val="4ACA1E61"/>
    <w:rsid w:val="4AF0323F"/>
    <w:rsid w:val="4B08202D"/>
    <w:rsid w:val="4B0B6702"/>
    <w:rsid w:val="4BCA036B"/>
    <w:rsid w:val="4BFA71E9"/>
    <w:rsid w:val="4C111CCC"/>
    <w:rsid w:val="4C813C70"/>
    <w:rsid w:val="4CB37051"/>
    <w:rsid w:val="4D0C5E0D"/>
    <w:rsid w:val="4D64034B"/>
    <w:rsid w:val="4D8E361A"/>
    <w:rsid w:val="4DF72F6D"/>
    <w:rsid w:val="4FE85264"/>
    <w:rsid w:val="504D0B67"/>
    <w:rsid w:val="51363DAD"/>
    <w:rsid w:val="51711289"/>
    <w:rsid w:val="518E7DF8"/>
    <w:rsid w:val="51D20777"/>
    <w:rsid w:val="524349D3"/>
    <w:rsid w:val="52637CA8"/>
    <w:rsid w:val="528D4FE8"/>
    <w:rsid w:val="52BD3BF0"/>
    <w:rsid w:val="530A5161"/>
    <w:rsid w:val="54C904E4"/>
    <w:rsid w:val="55110445"/>
    <w:rsid w:val="551322A2"/>
    <w:rsid w:val="5559450E"/>
    <w:rsid w:val="559E724D"/>
    <w:rsid w:val="55D63DB0"/>
    <w:rsid w:val="56040631"/>
    <w:rsid w:val="572528F9"/>
    <w:rsid w:val="57BA777E"/>
    <w:rsid w:val="584E40D2"/>
    <w:rsid w:val="58793E26"/>
    <w:rsid w:val="59030A18"/>
    <w:rsid w:val="594669FB"/>
    <w:rsid w:val="59A84022"/>
    <w:rsid w:val="59CF1242"/>
    <w:rsid w:val="59FD7DBC"/>
    <w:rsid w:val="5A5D684E"/>
    <w:rsid w:val="5A603874"/>
    <w:rsid w:val="5A9A53AC"/>
    <w:rsid w:val="5BA93667"/>
    <w:rsid w:val="5BB11B5E"/>
    <w:rsid w:val="5BBA4274"/>
    <w:rsid w:val="5C1967A5"/>
    <w:rsid w:val="5C5733B5"/>
    <w:rsid w:val="5C5C4428"/>
    <w:rsid w:val="5C9B540C"/>
    <w:rsid w:val="5CB36BF9"/>
    <w:rsid w:val="5CEE378D"/>
    <w:rsid w:val="5CFB6B47"/>
    <w:rsid w:val="5DAF116F"/>
    <w:rsid w:val="5E4915C3"/>
    <w:rsid w:val="5E4A282F"/>
    <w:rsid w:val="5EB403CA"/>
    <w:rsid w:val="5F047298"/>
    <w:rsid w:val="608069CB"/>
    <w:rsid w:val="61AD1E69"/>
    <w:rsid w:val="62A50D92"/>
    <w:rsid w:val="62BE2B8A"/>
    <w:rsid w:val="62EA7456"/>
    <w:rsid w:val="63F21DB5"/>
    <w:rsid w:val="644B7717"/>
    <w:rsid w:val="647E4E3D"/>
    <w:rsid w:val="64BF74C3"/>
    <w:rsid w:val="64FE3585"/>
    <w:rsid w:val="65301C31"/>
    <w:rsid w:val="65580EF3"/>
    <w:rsid w:val="6598698C"/>
    <w:rsid w:val="66B552CE"/>
    <w:rsid w:val="66FA4DE7"/>
    <w:rsid w:val="676A25AA"/>
    <w:rsid w:val="67873066"/>
    <w:rsid w:val="687F7DF0"/>
    <w:rsid w:val="69004F74"/>
    <w:rsid w:val="6925245C"/>
    <w:rsid w:val="694B164C"/>
    <w:rsid w:val="69A1416D"/>
    <w:rsid w:val="6A5A4B58"/>
    <w:rsid w:val="6BA63166"/>
    <w:rsid w:val="6BB87C0A"/>
    <w:rsid w:val="6BDB75D3"/>
    <w:rsid w:val="6C163A2B"/>
    <w:rsid w:val="6C296590"/>
    <w:rsid w:val="6CA91BEC"/>
    <w:rsid w:val="6CB25662"/>
    <w:rsid w:val="6CE60925"/>
    <w:rsid w:val="6DA560EA"/>
    <w:rsid w:val="6DC839A7"/>
    <w:rsid w:val="6E414065"/>
    <w:rsid w:val="6F1E6154"/>
    <w:rsid w:val="6F39694E"/>
    <w:rsid w:val="6F7615ED"/>
    <w:rsid w:val="702459EC"/>
    <w:rsid w:val="708F3550"/>
    <w:rsid w:val="70D2781A"/>
    <w:rsid w:val="717007BD"/>
    <w:rsid w:val="72275320"/>
    <w:rsid w:val="723E6E35"/>
    <w:rsid w:val="7365240C"/>
    <w:rsid w:val="737E150A"/>
    <w:rsid w:val="737F599B"/>
    <w:rsid w:val="73B1202A"/>
    <w:rsid w:val="73D47729"/>
    <w:rsid w:val="74051691"/>
    <w:rsid w:val="74760B3E"/>
    <w:rsid w:val="74D6441C"/>
    <w:rsid w:val="751F49D4"/>
    <w:rsid w:val="75F47C0F"/>
    <w:rsid w:val="762C4A25"/>
    <w:rsid w:val="76352D46"/>
    <w:rsid w:val="77170059"/>
    <w:rsid w:val="7799185F"/>
    <w:rsid w:val="77B23E1C"/>
    <w:rsid w:val="77DF669D"/>
    <w:rsid w:val="781A7FD5"/>
    <w:rsid w:val="782B18E2"/>
    <w:rsid w:val="78414C61"/>
    <w:rsid w:val="785F314C"/>
    <w:rsid w:val="788259A6"/>
    <w:rsid w:val="788267A5"/>
    <w:rsid w:val="78CE2999"/>
    <w:rsid w:val="78E20CD2"/>
    <w:rsid w:val="79CE0777"/>
    <w:rsid w:val="79DF3026"/>
    <w:rsid w:val="79FD653B"/>
    <w:rsid w:val="7AB570D9"/>
    <w:rsid w:val="7AEB7713"/>
    <w:rsid w:val="7AEC661D"/>
    <w:rsid w:val="7B073FEC"/>
    <w:rsid w:val="7C056B7D"/>
    <w:rsid w:val="7C07796D"/>
    <w:rsid w:val="7C72298D"/>
    <w:rsid w:val="7CED5941"/>
    <w:rsid w:val="7CF214EB"/>
    <w:rsid w:val="7D07647A"/>
    <w:rsid w:val="7D160FD2"/>
    <w:rsid w:val="7D32101D"/>
    <w:rsid w:val="7D516650"/>
    <w:rsid w:val="7D5C46C9"/>
    <w:rsid w:val="7D6C1D7F"/>
    <w:rsid w:val="7DFD162B"/>
    <w:rsid w:val="7F6B48AC"/>
    <w:rsid w:val="7FD0524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Times New Roman" w:hAnsi="Times New Roman" w:eastAsia="Arial" w:cs="Times New Roman"/>
      <w:snapToGrid w:val="0"/>
      <w:color w:val="000000"/>
      <w:sz w:val="21"/>
      <w:szCs w:val="21"/>
      <w:lang w:val="en-US" w:eastAsia="zh-CN" w:bidi="ar-SA"/>
    </w:rPr>
  </w:style>
  <w:style w:type="paragraph" w:styleId="2">
    <w:name w:val="heading 1"/>
    <w:basedOn w:val="1"/>
    <w:next w:val="1"/>
    <w:link w:val="12"/>
    <w:qFormat/>
    <w:uiPriority w:val="0"/>
    <w:pPr>
      <w:autoSpaceDE/>
      <w:autoSpaceDN/>
      <w:spacing w:line="600" w:lineRule="exact"/>
      <w:ind w:firstLine="0" w:firstLineChars="0"/>
      <w:jc w:val="center"/>
      <w:outlineLvl w:val="0"/>
    </w:pPr>
    <w:rPr>
      <w:rFonts w:ascii="方正小标宋_GBK" w:hAnsi="方正小标宋_GBK" w:eastAsia="方正小标宋_GBK" w:cs="宋体"/>
      <w:kern w:val="44"/>
      <w:sz w:val="44"/>
      <w:szCs w:val="48"/>
      <w:lang w:bidi="ar"/>
    </w:rPr>
  </w:style>
  <w:style w:type="paragraph" w:styleId="3">
    <w:name w:val="heading 2"/>
    <w:basedOn w:val="1"/>
    <w:next w:val="1"/>
    <w:autoRedefine/>
    <w:unhideWhenUsed/>
    <w:qFormat/>
    <w:uiPriority w:val="0"/>
    <w:pPr>
      <w:keepNext/>
      <w:keepLines/>
      <w:spacing w:beforeLines="0" w:beforeAutospacing="0" w:afterLines="0" w:afterAutospacing="0" w:line="360" w:lineRule="exact"/>
      <w:ind w:firstLine="281" w:firstLineChars="100"/>
      <w:jc w:val="left"/>
      <w:outlineLvl w:val="1"/>
    </w:pPr>
    <w:rPr>
      <w:rFonts w:ascii="Arial" w:hAnsi="Arial" w:eastAsia="黑体" w:cs="Calibri"/>
      <w:sz w:val="24"/>
      <w:szCs w:val="21"/>
    </w:rPr>
  </w:style>
  <w:style w:type="paragraph" w:styleId="4">
    <w:name w:val="heading 3"/>
    <w:basedOn w:val="1"/>
    <w:next w:val="1"/>
    <w:autoRedefine/>
    <w:unhideWhenUsed/>
    <w:qFormat/>
    <w:uiPriority w:val="0"/>
    <w:pPr>
      <w:spacing w:beforeAutospacing="0" w:afterAutospacing="0" w:line="560" w:lineRule="exact"/>
      <w:ind w:firstLine="640" w:firstLineChars="200"/>
      <w:jc w:val="left"/>
      <w:outlineLvl w:val="2"/>
    </w:pPr>
    <w:rPr>
      <w:rFonts w:ascii="楷体_GB2312" w:hAnsi="楷体_GB2312" w:eastAsia="楷体_GB2312" w:cs="宋体"/>
      <w:b/>
      <w:bCs/>
      <w:sz w:val="32"/>
      <w:szCs w:val="27"/>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5">
    <w:name w:val="Body Text"/>
    <w:basedOn w:val="1"/>
    <w:autoRedefine/>
    <w:semiHidden/>
    <w:qFormat/>
    <w:uiPriority w:val="0"/>
    <w:rPr>
      <w:rFonts w:ascii="仿宋" w:hAnsi="仿宋" w:eastAsia="仿宋" w:cs="仿宋"/>
      <w:sz w:val="31"/>
      <w:szCs w:val="31"/>
      <w:lang w:val="en-US" w:eastAsia="en-US" w:bidi="ar-SA"/>
    </w:rPr>
  </w:style>
  <w:style w:type="paragraph" w:styleId="6">
    <w:name w:val="Balloon Text"/>
    <w:basedOn w:val="1"/>
    <w:link w:val="13"/>
    <w:autoRedefine/>
    <w:qFormat/>
    <w:uiPriority w:val="0"/>
    <w:rPr>
      <w:sz w:val="18"/>
      <w:szCs w:val="18"/>
    </w:rPr>
  </w:style>
  <w:style w:type="paragraph" w:styleId="7">
    <w:name w:val="footer"/>
    <w:basedOn w:val="1"/>
    <w:link w:val="14"/>
    <w:autoRedefine/>
    <w:qFormat/>
    <w:uiPriority w:val="99"/>
    <w:pPr>
      <w:tabs>
        <w:tab w:val="center" w:pos="4153"/>
        <w:tab w:val="right" w:pos="8306"/>
      </w:tabs>
    </w:pPr>
    <w:rPr>
      <w:sz w:val="18"/>
      <w:szCs w:val="18"/>
    </w:rPr>
  </w:style>
  <w:style w:type="paragraph" w:styleId="8">
    <w:name w:val="header"/>
    <w:basedOn w:val="1"/>
    <w:autoRedefine/>
    <w:qFormat/>
    <w:uiPriority w:val="0"/>
    <w:pPr>
      <w:pBdr>
        <w:bottom w:val="single" w:color="auto" w:sz="6" w:space="1"/>
      </w:pBdr>
      <w:tabs>
        <w:tab w:val="center" w:pos="4153"/>
        <w:tab w:val="right" w:pos="8306"/>
      </w:tabs>
      <w:jc w:val="center"/>
    </w:pPr>
    <w:rPr>
      <w:sz w:val="18"/>
      <w:szCs w:val="18"/>
    </w:rPr>
  </w:style>
  <w:style w:type="paragraph" w:styleId="9">
    <w:name w:val="Normal (Web)"/>
    <w:basedOn w:val="1"/>
    <w:qFormat/>
    <w:uiPriority w:val="0"/>
    <w:pPr>
      <w:kinsoku/>
      <w:autoSpaceDE/>
      <w:autoSpaceDN/>
      <w:adjustRightInd/>
      <w:snapToGrid/>
      <w:spacing w:before="100" w:beforeAutospacing="1" w:after="100" w:afterAutospacing="1"/>
      <w:textAlignment w:val="auto"/>
    </w:pPr>
    <w:rPr>
      <w:rFonts w:ascii="宋体" w:hAnsi="宋体" w:eastAsia="宋体" w:cs="Times New Roman"/>
      <w:snapToGrid/>
      <w:color w:val="auto"/>
      <w:sz w:val="24"/>
      <w:szCs w:val="24"/>
    </w:rPr>
  </w:style>
  <w:style w:type="character" w:customStyle="1" w:styleId="12">
    <w:name w:val="标题 1 Char"/>
    <w:link w:val="2"/>
    <w:autoRedefine/>
    <w:uiPriority w:val="0"/>
    <w:rPr>
      <w:rFonts w:ascii="方正小标宋_GBK" w:hAnsi="方正小标宋_GBK" w:eastAsia="方正小标宋_GBK" w:cs="宋体"/>
      <w:kern w:val="44"/>
      <w:sz w:val="44"/>
      <w:szCs w:val="48"/>
      <w:lang w:val="en-US" w:eastAsia="zh-CN" w:bidi="ar"/>
    </w:rPr>
  </w:style>
  <w:style w:type="character" w:customStyle="1" w:styleId="13">
    <w:name w:val="批注框文本 Char"/>
    <w:basedOn w:val="11"/>
    <w:link w:val="6"/>
    <w:autoRedefine/>
    <w:qFormat/>
    <w:uiPriority w:val="0"/>
    <w:rPr>
      <w:rFonts w:eastAsia="Arial"/>
      <w:snapToGrid w:val="0"/>
      <w:color w:val="000000"/>
      <w:sz w:val="18"/>
      <w:szCs w:val="18"/>
    </w:rPr>
  </w:style>
  <w:style w:type="character" w:customStyle="1" w:styleId="14">
    <w:name w:val="页脚 Char"/>
    <w:basedOn w:val="11"/>
    <w:link w:val="7"/>
    <w:qFormat/>
    <w:uiPriority w:val="99"/>
    <w:rPr>
      <w:rFonts w:eastAsia="Arial"/>
      <w:snapToGrid w:val="0"/>
      <w:color w:val="000000"/>
      <w:sz w:val="18"/>
      <w:szCs w:val="18"/>
    </w:rPr>
  </w:style>
  <w:style w:type="character" w:customStyle="1" w:styleId="15">
    <w:name w:val="row_tree_level_4"/>
    <w:basedOn w:val="11"/>
    <w:autoRedefine/>
    <w:qFormat/>
    <w:uiPriority w:val="0"/>
  </w:style>
  <w:style w:type="paragraph" w:customStyle="1" w:styleId="16">
    <w:name w:val="p0"/>
    <w:basedOn w:val="1"/>
    <w:qFormat/>
    <w:uiPriority w:val="0"/>
    <w:rPr>
      <w:rFonts w:ascii="Times New Roman" w:hAnsi="Times New Roman" w:eastAsia="宋体" w:cs="Times New Roman"/>
    </w:rPr>
  </w:style>
  <w:style w:type="table" w:customStyle="1" w:styleId="17">
    <w:name w:val="Table Normal"/>
    <w:autoRedefine/>
    <w:unhideWhenUse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9598</Words>
  <Characters>9838</Characters>
  <Lines>68</Lines>
  <Paragraphs>19</Paragraphs>
  <TotalTime>0</TotalTime>
  <ScaleCrop>false</ScaleCrop>
  <LinksUpToDate>false</LinksUpToDate>
  <CharactersWithSpaces>12888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2023-02-16T10:15:00Z</dcterms:created>
  <dc:creator>NOIR</dc:creator>
  <cp:lastModifiedBy>归寻</cp:lastModifiedBy>
  <cp:lastPrinted>2023-02-20T07:37:00Z</cp:lastPrinted>
  <dcterms:modified xsi:type="dcterms:W3CDTF">2025-08-26T01:21:37Z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2022-02-28T18:39:59Z</vt:filetime>
  </property>
  <property fmtid="{D5CDD505-2E9C-101B-9397-08002B2CF9AE}" pid="4" name="KSOProductBuildVer">
    <vt:lpwstr>2052-12.1.0.16399</vt:lpwstr>
  </property>
  <property fmtid="{D5CDD505-2E9C-101B-9397-08002B2CF9AE}" pid="5" name="ICV">
    <vt:lpwstr>B6EF3FFCB3B74D8C92D83BED857FB646_13</vt:lpwstr>
  </property>
</Properties>
</file>