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39" w:line="225" w:lineRule="auto"/>
        <w:jc w:val="center"/>
        <w:outlineLvl w:val="0"/>
        <w:rPr>
          <w:rFonts w:hint="eastAsia" w:ascii="黑体" w:hAnsi="黑体" w:eastAsia="黑体" w:cs="黑体"/>
          <w:spacing w:val="0"/>
          <w:w w:val="100"/>
          <w:position w:val="0"/>
          <w:sz w:val="43"/>
          <w:szCs w:val="43"/>
          <w:lang w:val="en-US" w:eastAsia="zh-CN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43"/>
          <w:szCs w:val="43"/>
          <w:lang w:val="en-US" w:eastAsia="zh-CN"/>
        </w:rPr>
        <w:t>东湖区董家窑街道办事处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39" w:line="225" w:lineRule="auto"/>
        <w:jc w:val="center"/>
        <w:outlineLvl w:val="0"/>
        <w:rPr>
          <w:rFonts w:ascii="黑体" w:hAnsi="黑体" w:eastAsia="黑体" w:cs="黑体"/>
          <w:spacing w:val="0"/>
          <w:w w:val="100"/>
          <w:position w:val="0"/>
          <w:sz w:val="43"/>
          <w:szCs w:val="43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43"/>
          <w:szCs w:val="43"/>
          <w:lang w:val="en-US" w:eastAsia="zh-CN"/>
        </w:rPr>
        <w:t>2024年</w:t>
      </w:r>
      <w:r>
        <w:rPr>
          <w:rFonts w:ascii="黑体" w:hAnsi="黑体" w:eastAsia="黑体" w:cs="黑体"/>
          <w:spacing w:val="0"/>
          <w:w w:val="100"/>
          <w:position w:val="0"/>
          <w:sz w:val="43"/>
          <w:szCs w:val="43"/>
        </w:rPr>
        <w:t>部门预算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3580"/>
        <w:textAlignment w:val="baseline"/>
        <w:rPr>
          <w:rFonts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ascii="黑体" w:hAnsi="黑体" w:eastAsia="黑体" w:cs="黑体"/>
          <w:spacing w:val="0"/>
          <w:w w:val="100"/>
          <w:position w:val="0"/>
          <w:sz w:val="32"/>
          <w:szCs w:val="32"/>
        </w:rPr>
        <w:t>目    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 xml:space="preserve">第一部分 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概况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一、部门主要职责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二、机构设置及人员情况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/>
        <w:textAlignment w:val="baseline"/>
        <w:rPr>
          <w:rFonts w:hint="eastAsia" w:ascii="仿宋_GB2312" w:hAnsi="仿宋_GB2312" w:eastAsia="仿宋_GB2312" w:cs="仿宋_GB2312"/>
          <w:spacing w:val="-11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w w:val="100"/>
          <w:position w:val="0"/>
          <w:sz w:val="32"/>
          <w:szCs w:val="32"/>
        </w:rPr>
        <w:t xml:space="preserve">第二部分 </w:t>
      </w:r>
      <w:r>
        <w:rPr>
          <w:rFonts w:hint="eastAsia" w:ascii="仿宋_GB2312" w:hAnsi="仿宋_GB2312" w:eastAsia="仿宋_GB2312" w:cs="仿宋_GB2312"/>
          <w:spacing w:val="-11"/>
          <w:w w:val="100"/>
          <w:position w:val="0"/>
          <w:sz w:val="32"/>
          <w:szCs w:val="32"/>
          <w:lang w:val="en-US" w:eastAsia="zh-CN"/>
        </w:rPr>
        <w:t>东湖区董家窑街道办事处2024年部门</w:t>
      </w:r>
      <w:r>
        <w:rPr>
          <w:rFonts w:hint="eastAsia" w:ascii="仿宋_GB2312" w:hAnsi="仿宋_GB2312" w:eastAsia="仿宋_GB2312" w:cs="仿宋_GB2312"/>
          <w:spacing w:val="-11"/>
          <w:w w:val="100"/>
          <w:position w:val="0"/>
          <w:sz w:val="32"/>
          <w:szCs w:val="32"/>
        </w:rPr>
        <w:t>预算表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一、《收支预算总表》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二、《部门收入总表》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三、《部门支出总表》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四、《财政拨款收支总表》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五、《一般公共预算支出表》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六、《一般公共预算基本支出表》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七、《财政拨款 “三公”经费支出表》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八、《政府性基金预算支出表》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九、《国有资本经营预算支出表》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十、《部门整体支出绩效目标表》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十一、《项目绩效目标表》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1440" w:leftChars="0" w:hanging="1440" w:hangingChars="45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第三部分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  <w:lang w:val="en-US" w:eastAsia="zh-CN"/>
        </w:rPr>
        <w:t xml:space="preserve"> 东湖区董家窑街道办事处2024年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部门预算情况说明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年部门预算收支情况说明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年 “三公”经费预算情况说明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t>第四部分  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baseline"/>
        <w:rPr>
          <w:rFonts w:hint="eastAsia" w:ascii="仿宋_GB2312" w:hAnsi="仿宋_GB2312" w:eastAsia="仿宋_GB2312" w:cs="仿宋_GB2312"/>
          <w:spacing w:val="0"/>
          <w:w w:val="100"/>
          <w:position w:val="0"/>
          <w:sz w:val="32"/>
          <w:szCs w:val="32"/>
        </w:rPr>
        <w:sectPr>
          <w:pgSz w:w="11905" w:h="16838"/>
          <w:pgMar w:top="1701" w:right="1757" w:bottom="1701" w:left="1757" w:header="0" w:footer="0" w:gutter="0"/>
          <w:cols w:space="720" w:num="1"/>
          <w:rtlGutter w:val="0"/>
          <w:docGrid w:linePitch="0" w:charSpace="0"/>
        </w:sectPr>
      </w:pPr>
    </w:p>
    <w:p>
      <w:pPr>
        <w:pStyle w:val="2"/>
        <w:bidi w:val="0"/>
        <w:rPr>
          <w:rFonts w:hint="eastAsia"/>
          <w:lang w:val="en-US" w:eastAsia="zh-CN"/>
        </w:rPr>
      </w:pPr>
      <w:r>
        <w:t xml:space="preserve">第一部分 </w:t>
      </w:r>
      <w:r>
        <w:rPr>
          <w:rFonts w:hint="eastAsia"/>
          <w:lang w:val="en-US" w:eastAsia="zh-CN"/>
        </w:rPr>
        <w:t>东湖区</w:t>
      </w:r>
      <w:r>
        <w:rPr>
          <w:rFonts w:hint="eastAsia" w:cs="宋体"/>
          <w:lang w:val="en-US" w:eastAsia="zh-CN"/>
        </w:rPr>
        <w:t>董家窑街道办事处</w:t>
      </w:r>
    </w:p>
    <w:p>
      <w:pPr>
        <w:pStyle w:val="2"/>
        <w:bidi w:val="0"/>
      </w:pPr>
      <w:r>
        <w:rPr>
          <w:rFonts w:hint="eastAsia"/>
          <w:lang w:val="en-US" w:eastAsia="zh-CN"/>
        </w:rPr>
        <w:t>2024年</w:t>
      </w:r>
      <w:r>
        <w:t>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2" w:lineRule="auto"/>
        <w:rPr>
          <w:rFonts w:ascii="Arial"/>
          <w:spacing w:val="0"/>
          <w:w w:val="10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2" w:lineRule="auto"/>
        <w:rPr>
          <w:rFonts w:ascii="Arial"/>
          <w:spacing w:val="0"/>
          <w:w w:val="10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1" w:line="221" w:lineRule="auto"/>
        <w:ind w:left="30" w:firstLine="640" w:firstLineChars="200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一、部门主要职责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东湖区董家窑街道办事处为区委、区政府派出机构，主要职责是：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1、宣传和贯彻党的路线、方针、政策；维护国家的宪法和法律；执行上级党委和人民政府的各项命令和决定；负责街道和社区党的建设、纪检监察工作；做好党的统一战线工作；发挥工、青、妇群众组织的积极作用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2、负责制订街道经济工作规划并组织实施，大力发展街道区域经济和第三产业；做好招商引资和协税护税工作，促进个私民营经济的发展；负责街道国有资产的监督、管理和内部审计工作。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3、尊重社区居民委员会的法定地位，指导、帮助社区居民委员会开展组织建设、制度建设和其他工作；积极推动社区的精神文明和物质文明建设；研究和制定辖区的社区建设总体规划并组织实施；充分利用社区资源，开展社区服务和社区科教文卫及法律的普及工作；负责社区居民委员会干部的政治教育、业务培训；帮助社区居委会依法对居住区物业管理进行指导监督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4、负责辖区的计划生育工作。研究制定辖区的计划生育工作计划并组织实施；督促、指导社区和辖区单位开展计划生育网络建设、流动人口计划生育等各项工作。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5、负责辖区的社会治安综合治理工作。研究制定辖区的社会治安综合治理规划并组织实施；督促、指导社区和辖区单位开展专项整治、安全防火、人民调解、法治宣传教育等各项社会治安综合治理工作；维护辖区政治安定和社会稳定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6、积极开展本辖区的劳动就业和社会保障工作，实施再就业工程。指导和帮助待业人员和下岗失业人员实现就业和再就业；开展就业援助、职业培训、离退休人员社会化管理等工作。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7、负责辖区环境管理，参与城市建设和管理。协助城管、城建、环保、市政、园林等部门清理违章占道摊点、管理和监督市政配套设施，做好环境保护和绿化等工作。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8、负责辖区的兵役调查登记、征兵工作和民兵预备役工作。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9、做好辖区社会救助、拥军优属、民族民俗事务、爱国卫生、扶贫助残等社会事务工作。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10、协助人大常委会组织辖区人大代表的学习、视察和换届选举等活动，为人大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代表依法行使权力创造有利条件。</w:t>
      </w:r>
    </w:p>
    <w:p>
      <w:pPr>
        <w:pStyle w:val="16"/>
        <w:widowControl w:val="0"/>
        <w:kinsoku/>
        <w:topLinePunct/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11、加强督促检查和信息调研工作，收取辖区居民群众反映的各类问题，协调有关部门加快解决：及时向区委、区政府反映辖区居民和单位的意见及要求，受理群众来信来访。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 w:bidi="ar-SA"/>
        </w:rPr>
        <w:t>12、承办区委、区政府交办的其他工作。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二、机构设置及人员情况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 xml:space="preserve">部门共有预算单位 </w:t>
      </w:r>
      <w:r>
        <w:rPr>
          <w:spacing w:val="0"/>
          <w:w w:val="100"/>
          <w:position w:val="0"/>
          <w:sz w:val="32"/>
          <w:szCs w:val="32"/>
          <w:u w:val="single" w:color="auto"/>
        </w:rPr>
        <w:t xml:space="preserve">    </w:t>
      </w:r>
      <w:r>
        <w:rPr>
          <w:spacing w:val="0"/>
          <w:w w:val="100"/>
          <w:position w:val="0"/>
          <w:sz w:val="32"/>
          <w:szCs w:val="32"/>
        </w:rPr>
        <w:t xml:space="preserve"> 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</w:t>
      </w:r>
      <w:r>
        <w:rPr>
          <w:spacing w:val="0"/>
          <w:w w:val="100"/>
          <w:position w:val="0"/>
          <w:sz w:val="32"/>
          <w:szCs w:val="32"/>
        </w:rPr>
        <w:t>个，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其中，行政机关1个：东湖区董家窑街道办事处。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编制人数小计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49</w:t>
      </w:r>
      <w:r>
        <w:rPr>
          <w:spacing w:val="0"/>
          <w:w w:val="100"/>
          <w:position w:val="0"/>
          <w:sz w:val="32"/>
          <w:szCs w:val="32"/>
        </w:rPr>
        <w:t>人,其中：行政编制人数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14</w:t>
      </w:r>
      <w:r>
        <w:rPr>
          <w:spacing w:val="0"/>
          <w:w w:val="100"/>
          <w:position w:val="0"/>
          <w:sz w:val="32"/>
          <w:szCs w:val="32"/>
        </w:rPr>
        <w:t>人,全部补助事业编制人数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35</w:t>
      </w:r>
      <w:r>
        <w:rPr>
          <w:spacing w:val="0"/>
          <w:w w:val="100"/>
          <w:position w:val="0"/>
          <w:sz w:val="32"/>
          <w:szCs w:val="32"/>
        </w:rPr>
        <w:t>人,部分补助事业编制人数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人。实有人数小计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55</w:t>
      </w:r>
      <w:r>
        <w:rPr>
          <w:spacing w:val="0"/>
          <w:w w:val="100"/>
          <w:position w:val="0"/>
          <w:sz w:val="32"/>
          <w:szCs w:val="32"/>
        </w:rPr>
        <w:t>人,其中：在职人数小计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35</w:t>
      </w:r>
      <w:r>
        <w:rPr>
          <w:spacing w:val="0"/>
          <w:w w:val="100"/>
          <w:position w:val="0"/>
          <w:sz w:val="32"/>
          <w:szCs w:val="32"/>
        </w:rPr>
        <w:t>人,行政在职人数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13</w:t>
      </w:r>
      <w:r>
        <w:rPr>
          <w:spacing w:val="0"/>
          <w:w w:val="100"/>
          <w:position w:val="0"/>
          <w:sz w:val="32"/>
          <w:szCs w:val="32"/>
        </w:rPr>
        <w:t>人,全部补助事业在职人数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22</w:t>
      </w:r>
      <w:r>
        <w:rPr>
          <w:spacing w:val="0"/>
          <w:w w:val="100"/>
          <w:position w:val="0"/>
          <w:sz w:val="32"/>
          <w:szCs w:val="32"/>
        </w:rPr>
        <w:t>人,部分补助事业在职人数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人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；</w:t>
      </w:r>
      <w:r>
        <w:rPr>
          <w:spacing w:val="0"/>
          <w:w w:val="100"/>
          <w:position w:val="0"/>
          <w:sz w:val="32"/>
          <w:szCs w:val="32"/>
        </w:rPr>
        <w:t>离休人数小计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人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；</w:t>
      </w:r>
      <w:r>
        <w:rPr>
          <w:spacing w:val="0"/>
          <w:w w:val="100"/>
          <w:position w:val="0"/>
          <w:sz w:val="32"/>
          <w:szCs w:val="32"/>
        </w:rPr>
        <w:t>退休人数小计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18</w:t>
      </w:r>
      <w:r>
        <w:rPr>
          <w:spacing w:val="0"/>
          <w:w w:val="100"/>
          <w:position w:val="0"/>
          <w:sz w:val="32"/>
          <w:szCs w:val="32"/>
        </w:rPr>
        <w:t>人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；</w:t>
      </w:r>
      <w:r>
        <w:rPr>
          <w:spacing w:val="0"/>
          <w:w w:val="100"/>
          <w:position w:val="0"/>
          <w:sz w:val="32"/>
          <w:szCs w:val="32"/>
        </w:rPr>
        <w:t>遗属人数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</w:t>
      </w:r>
      <w:r>
        <w:rPr>
          <w:spacing w:val="0"/>
          <w:w w:val="100"/>
          <w:position w:val="0"/>
          <w:sz w:val="32"/>
          <w:szCs w:val="32"/>
        </w:rPr>
        <w:t>人。</w:t>
      </w:r>
    </w:p>
    <w:p>
      <w:pPr>
        <w:pStyle w:val="2"/>
        <w:bidi w:val="0"/>
      </w:pPr>
    </w:p>
    <w:p>
      <w:pPr>
        <w:pStyle w:val="2"/>
        <w:bidi w:val="0"/>
        <w:rPr>
          <w:rFonts w:hint="eastAsia"/>
          <w:lang w:val="en-US" w:eastAsia="zh-CN"/>
        </w:rPr>
      </w:pPr>
      <w:r>
        <w:t xml:space="preserve">第二部分 </w:t>
      </w:r>
      <w:r>
        <w:rPr>
          <w:rFonts w:hint="eastAsia"/>
          <w:lang w:val="en-US" w:eastAsia="zh-CN"/>
        </w:rPr>
        <w:t>东湖区</w:t>
      </w:r>
      <w:r>
        <w:rPr>
          <w:rFonts w:hint="eastAsia" w:cs="宋体"/>
          <w:lang w:val="en-US" w:eastAsia="zh-CN"/>
        </w:rPr>
        <w:t>董家窑街道办事处</w:t>
      </w:r>
    </w:p>
    <w:p>
      <w:pPr>
        <w:pStyle w:val="2"/>
        <w:bidi w:val="0"/>
      </w:pPr>
      <w:r>
        <w:rPr>
          <w:rFonts w:hint="eastAsia"/>
        </w:rPr>
        <w:t>2024</w:t>
      </w:r>
      <w:r>
        <w:t>部门预算表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70" w:line="226" w:lineRule="auto"/>
        <w:ind w:left="680"/>
        <w:jc w:val="center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（详见附表）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83" w:lineRule="auto"/>
        <w:rPr>
          <w:rFonts w:ascii="Arial"/>
          <w:spacing w:val="0"/>
          <w:w w:val="100"/>
          <w:position w:val="0"/>
          <w:sz w:val="32"/>
          <w:szCs w:val="32"/>
        </w:rPr>
      </w:pPr>
    </w:p>
    <w:p>
      <w:pPr>
        <w:pStyle w:val="2"/>
        <w:bidi w:val="0"/>
        <w:rPr>
          <w:rFonts w:hint="eastAsia"/>
          <w:lang w:val="en-US" w:eastAsia="zh-CN"/>
        </w:rPr>
      </w:pPr>
      <w:r>
        <w:t xml:space="preserve">第三部分 </w:t>
      </w:r>
      <w:r>
        <w:rPr>
          <w:rFonts w:hint="eastAsia"/>
          <w:lang w:val="en-US" w:eastAsia="zh-CN"/>
        </w:rPr>
        <w:t>东湖区</w:t>
      </w:r>
      <w:r>
        <w:rPr>
          <w:rFonts w:hint="eastAsia" w:cs="宋体"/>
          <w:lang w:val="en-US" w:eastAsia="zh-CN"/>
        </w:rPr>
        <w:t>董家窑街道办事处</w:t>
      </w:r>
    </w:p>
    <w:p>
      <w:pPr>
        <w:pStyle w:val="2"/>
        <w:bidi w:val="0"/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2024年</w:t>
      </w:r>
      <w:r>
        <w:t>部门预算情况说明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0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93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一、</w:t>
      </w: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年部门预算收支情况说明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textAlignment w:val="baseline"/>
      </w:pPr>
      <w:r>
        <w:t>(一)收入预算情况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>部门收入预算总额为</w:t>
      </w:r>
      <w:r>
        <w:rPr>
          <w:spacing w:val="0"/>
          <w:w w:val="100"/>
          <w:position w:val="0"/>
          <w:sz w:val="32"/>
          <w:szCs w:val="32"/>
          <w:u w:val="single" w:color="auto"/>
        </w:rPr>
        <w:t xml:space="preserve">   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1844.88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1406.95</w:t>
      </w:r>
      <w:r>
        <w:rPr>
          <w:spacing w:val="0"/>
          <w:w w:val="100"/>
          <w:position w:val="0"/>
          <w:sz w:val="32"/>
          <w:szCs w:val="32"/>
        </w:rPr>
        <w:t>万元，其中：财政拨款收入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1713.98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1276.05</w:t>
      </w:r>
      <w:r>
        <w:rPr>
          <w:spacing w:val="0"/>
          <w:w w:val="100"/>
          <w:position w:val="0"/>
          <w:sz w:val="32"/>
          <w:szCs w:val="32"/>
        </w:rPr>
        <w:t>万元；上年结转（结余）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130.9</w:t>
      </w:r>
      <w:r>
        <w:rPr>
          <w:spacing w:val="0"/>
          <w:w w:val="100"/>
          <w:position w:val="0"/>
          <w:sz w:val="32"/>
          <w:szCs w:val="32"/>
        </w:rPr>
        <w:t>万元，较上年预算安排增加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130.9</w:t>
      </w:r>
      <w:r>
        <w:rPr>
          <w:spacing w:val="0"/>
          <w:w w:val="100"/>
          <w:position w:val="0"/>
          <w:sz w:val="32"/>
          <w:szCs w:val="32"/>
        </w:rPr>
        <w:t>万元。</w:t>
      </w:r>
    </w:p>
    <w:p>
      <w:pPr>
        <w:pStyle w:val="4"/>
        <w:bidi w:val="0"/>
      </w:pPr>
      <w:r>
        <w:t>(二)支出预算情况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2" w:right="15" w:firstLine="645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>部门支出预算总额为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1844.88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1406.95</w:t>
      </w:r>
      <w:r>
        <w:rPr>
          <w:spacing w:val="0"/>
          <w:w w:val="100"/>
          <w:position w:val="0"/>
          <w:sz w:val="32"/>
          <w:szCs w:val="32"/>
        </w:rPr>
        <w:t>万元;其中：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2" w:right="15" w:firstLine="645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按支出项目类别划分：基本支出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829.74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391.81</w:t>
      </w:r>
      <w:r>
        <w:rPr>
          <w:spacing w:val="0"/>
          <w:w w:val="100"/>
          <w:position w:val="0"/>
          <w:sz w:val="32"/>
          <w:szCs w:val="32"/>
        </w:rPr>
        <w:t>万元;其中：工资福利支出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786.66</w:t>
      </w:r>
      <w:r>
        <w:rPr>
          <w:spacing w:val="0"/>
          <w:w w:val="100"/>
          <w:position w:val="0"/>
          <w:sz w:val="32"/>
          <w:szCs w:val="32"/>
        </w:rPr>
        <w:t>万元, 商品和服务支出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34.12</w:t>
      </w:r>
      <w:r>
        <w:rPr>
          <w:spacing w:val="0"/>
          <w:w w:val="100"/>
          <w:position w:val="0"/>
          <w:sz w:val="32"/>
          <w:szCs w:val="32"/>
        </w:rPr>
        <w:t>万元,对个人和家庭的补助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8.96</w:t>
      </w:r>
      <w:r>
        <w:rPr>
          <w:spacing w:val="0"/>
          <w:w w:val="100"/>
          <w:position w:val="0"/>
          <w:sz w:val="32"/>
          <w:szCs w:val="32"/>
        </w:rPr>
        <w:t>万元, 资本性支出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万元；项目支出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1015.15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1015.15</w:t>
      </w:r>
      <w:r>
        <w:rPr>
          <w:spacing w:val="0"/>
          <w:w w:val="100"/>
          <w:position w:val="0"/>
          <w:sz w:val="32"/>
          <w:szCs w:val="32"/>
        </w:rPr>
        <w:t>万元;其中：工资福利支出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342.4</w:t>
      </w:r>
      <w:r>
        <w:rPr>
          <w:spacing w:val="0"/>
          <w:w w:val="100"/>
          <w:position w:val="0"/>
          <w:sz w:val="32"/>
          <w:szCs w:val="32"/>
        </w:rPr>
        <w:t>万元,商品和服务支出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125.41</w:t>
      </w:r>
      <w:r>
        <w:rPr>
          <w:spacing w:val="0"/>
          <w:w w:val="100"/>
          <w:position w:val="0"/>
          <w:sz w:val="32"/>
          <w:szCs w:val="32"/>
        </w:rPr>
        <w:t>万元,对个人和家庭的补助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547.26</w:t>
      </w:r>
      <w:r>
        <w:rPr>
          <w:spacing w:val="0"/>
          <w:w w:val="100"/>
          <w:position w:val="0"/>
          <w:sz w:val="32"/>
          <w:szCs w:val="32"/>
        </w:rPr>
        <w:t>万元,债务利息及费用支出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万元，资本性支出（基本建设）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万元,资本性支出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万元，对企业补助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万元，其他支出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0.08</w:t>
      </w:r>
      <w:r>
        <w:rPr>
          <w:spacing w:val="0"/>
          <w:w w:val="100"/>
          <w:position w:val="0"/>
          <w:sz w:val="32"/>
          <w:szCs w:val="32"/>
        </w:rPr>
        <w:t>万元。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6" w:right="91" w:firstLine="640" w:firstLineChars="200"/>
        <w:jc w:val="both"/>
        <w:textAlignment w:val="baseline"/>
        <w:rPr>
          <w:rFonts w:hint="eastAsia" w:eastAsia="仿宋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按支出功能科目划分：一般公共服务支出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1018.93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695.75</w:t>
      </w:r>
      <w:r>
        <w:rPr>
          <w:spacing w:val="0"/>
          <w:w w:val="100"/>
          <w:position w:val="0"/>
          <w:sz w:val="32"/>
          <w:szCs w:val="32"/>
        </w:rPr>
        <w:t>万元;国防支出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0.05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0.05</w:t>
      </w:r>
      <w:r>
        <w:rPr>
          <w:spacing w:val="0"/>
          <w:w w:val="100"/>
          <w:position w:val="0"/>
          <w:sz w:val="32"/>
          <w:szCs w:val="32"/>
        </w:rPr>
        <w:t>万元;社会保障和就业支出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615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552.81</w:t>
      </w:r>
      <w:r>
        <w:rPr>
          <w:spacing w:val="0"/>
          <w:w w:val="100"/>
          <w:position w:val="0"/>
          <w:sz w:val="32"/>
          <w:szCs w:val="32"/>
        </w:rPr>
        <w:t>万元;城乡社区支出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152.9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152.9</w:t>
      </w:r>
      <w:r>
        <w:rPr>
          <w:spacing w:val="0"/>
          <w:w w:val="100"/>
          <w:position w:val="0"/>
          <w:sz w:val="32"/>
          <w:szCs w:val="32"/>
        </w:rPr>
        <w:t>万元;住房保障支出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5.44</w:t>
      </w:r>
      <w:r>
        <w:rPr>
          <w:spacing w:val="0"/>
          <w:w w:val="100"/>
          <w:position w:val="0"/>
          <w:sz w:val="32"/>
          <w:szCs w:val="32"/>
        </w:rPr>
        <w:t>万元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8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按支出经济分类划分：工资福利支出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1129.06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730.88</w:t>
      </w:r>
      <w:r>
        <w:rPr>
          <w:spacing w:val="0"/>
          <w:w w:val="100"/>
          <w:position w:val="0"/>
          <w:sz w:val="32"/>
          <w:szCs w:val="32"/>
        </w:rPr>
        <w:t>万元;商品和服务支出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159.53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125.65</w:t>
      </w:r>
      <w:r>
        <w:rPr>
          <w:spacing w:val="0"/>
          <w:w w:val="100"/>
          <w:position w:val="0"/>
          <w:sz w:val="32"/>
          <w:szCs w:val="32"/>
        </w:rPr>
        <w:t>万元;对个人和家庭的补助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556.22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550.35</w:t>
      </w:r>
      <w:r>
        <w:rPr>
          <w:spacing w:val="0"/>
          <w:w w:val="100"/>
          <w:position w:val="0"/>
          <w:sz w:val="32"/>
          <w:szCs w:val="32"/>
        </w:rPr>
        <w:t>万元；其他支出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0.08</w:t>
      </w:r>
      <w:r>
        <w:rPr>
          <w:spacing w:val="0"/>
          <w:w w:val="100"/>
          <w:position w:val="0"/>
          <w:sz w:val="32"/>
          <w:szCs w:val="32"/>
        </w:rPr>
        <w:t>万元。</w:t>
      </w:r>
    </w:p>
    <w:p>
      <w:pPr>
        <w:pStyle w:val="4"/>
        <w:bidi w:val="0"/>
      </w:pPr>
      <w:r>
        <w:t>(三)财政拨款支出情况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lef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>部门财政拨款支出预算总额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1713.98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1276.05</w:t>
      </w:r>
      <w:r>
        <w:rPr>
          <w:spacing w:val="0"/>
          <w:w w:val="100"/>
          <w:position w:val="0"/>
          <w:sz w:val="32"/>
          <w:szCs w:val="32"/>
        </w:rPr>
        <w:t>万元;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按支出功能科目划分：一般公共服务支出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1018.93</w:t>
      </w:r>
      <w:r>
        <w:rPr>
          <w:spacing w:val="0"/>
          <w:w w:val="100"/>
          <w:position w:val="0"/>
          <w:sz w:val="32"/>
          <w:szCs w:val="32"/>
        </w:rPr>
        <w:t>万元，国防支出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0.05</w:t>
      </w:r>
      <w:r>
        <w:rPr>
          <w:spacing w:val="0"/>
          <w:w w:val="100"/>
          <w:position w:val="0"/>
          <w:sz w:val="32"/>
          <w:szCs w:val="32"/>
        </w:rPr>
        <w:t>万元,社会保障和就业支出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615</w:t>
      </w:r>
      <w:r>
        <w:rPr>
          <w:spacing w:val="0"/>
          <w:w w:val="100"/>
          <w:position w:val="0"/>
          <w:sz w:val="32"/>
          <w:szCs w:val="32"/>
        </w:rPr>
        <w:t>万元,城乡社区支出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22</w:t>
      </w:r>
      <w:r>
        <w:rPr>
          <w:spacing w:val="0"/>
          <w:w w:val="100"/>
          <w:position w:val="0"/>
          <w:sz w:val="32"/>
          <w:szCs w:val="32"/>
        </w:rPr>
        <w:t>万元,住房保障支出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58</w:t>
      </w:r>
      <w:r>
        <w:rPr>
          <w:spacing w:val="0"/>
          <w:w w:val="100"/>
          <w:position w:val="0"/>
          <w:sz w:val="32"/>
          <w:szCs w:val="32"/>
        </w:rPr>
        <w:t>万元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按支出项目类别划分：基本支出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829.74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391.81</w:t>
      </w:r>
      <w:r>
        <w:rPr>
          <w:spacing w:val="0"/>
          <w:w w:val="100"/>
          <w:position w:val="0"/>
          <w:sz w:val="32"/>
          <w:szCs w:val="32"/>
        </w:rPr>
        <w:t>万元;其中：工资福利支出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786.66</w:t>
      </w:r>
      <w:r>
        <w:rPr>
          <w:spacing w:val="0"/>
          <w:w w:val="100"/>
          <w:position w:val="0"/>
          <w:sz w:val="32"/>
          <w:szCs w:val="32"/>
        </w:rPr>
        <w:t>万元,商品和服务支出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34.12</w:t>
      </w:r>
      <w:r>
        <w:rPr>
          <w:spacing w:val="0"/>
          <w:w w:val="100"/>
          <w:position w:val="0"/>
          <w:sz w:val="32"/>
          <w:szCs w:val="32"/>
        </w:rPr>
        <w:t>万元,对个人和家庭的补助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8.96</w:t>
      </w:r>
      <w:r>
        <w:rPr>
          <w:spacing w:val="0"/>
          <w:w w:val="100"/>
          <w:position w:val="0"/>
          <w:sz w:val="32"/>
          <w:szCs w:val="32"/>
        </w:rPr>
        <w:t>万元，资本性支出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万元。项目支出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884.25</w:t>
      </w:r>
      <w:r>
        <w:rPr>
          <w:spacing w:val="0"/>
          <w:w w:val="100"/>
          <w:position w:val="0"/>
          <w:sz w:val="32"/>
          <w:szCs w:val="32"/>
        </w:rPr>
        <w:t>万元,较上年预算安排增加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884.25</w:t>
      </w:r>
      <w:r>
        <w:rPr>
          <w:spacing w:val="0"/>
          <w:w w:val="100"/>
          <w:position w:val="0"/>
          <w:sz w:val="32"/>
          <w:szCs w:val="32"/>
        </w:rPr>
        <w:t>万元;其中：工资福利支出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298.9</w:t>
      </w:r>
      <w:r>
        <w:rPr>
          <w:spacing w:val="0"/>
          <w:w w:val="100"/>
          <w:position w:val="0"/>
          <w:sz w:val="32"/>
          <w:szCs w:val="32"/>
        </w:rPr>
        <w:t>万元,商品和服务支出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38.09</w:t>
      </w:r>
      <w:r>
        <w:rPr>
          <w:spacing w:val="0"/>
          <w:w w:val="100"/>
          <w:position w:val="0"/>
          <w:sz w:val="32"/>
          <w:szCs w:val="32"/>
        </w:rPr>
        <w:t>万元,对个人和家庭的补助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547.26</w:t>
      </w:r>
      <w:r>
        <w:rPr>
          <w:spacing w:val="0"/>
          <w:w w:val="100"/>
          <w:position w:val="0"/>
          <w:sz w:val="32"/>
          <w:szCs w:val="32"/>
        </w:rPr>
        <w:t>万元,债务利息及费用支出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万元，资本性支出（基本建设）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万元,资本性支出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万元，对企业补助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万元，其他支出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万元。</w:t>
      </w:r>
    </w:p>
    <w:p>
      <w:pPr>
        <w:pStyle w:val="4"/>
        <w:bidi w:val="0"/>
      </w:pPr>
      <w:r>
        <w:t>(四)政府性基金情况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89" w:firstLine="640" w:firstLineChars="200"/>
        <w:jc w:val="both"/>
        <w:textAlignment w:val="baseline"/>
        <w:rPr>
          <w:rFonts w:hint="eastAsia" w:eastAsia="仿宋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本部门没有使用政府性基金预算拨款安排的支出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40" w:lineRule="exact"/>
        <w:textAlignment w:val="baseline"/>
      </w:pPr>
      <w:r>
        <w:t>(五)国有资本经营情况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640" w:firstLineChars="200"/>
        <w:jc w:val="both"/>
        <w:textAlignment w:val="baseline"/>
        <w:rPr>
          <w:rFonts w:hint="eastAsia" w:eastAsia="仿宋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本部门没有使用国有资本经营预算拨款安排的支出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40" w:lineRule="exact"/>
        <w:jc w:val="both"/>
        <w:textAlignment w:val="baseline"/>
      </w:pPr>
      <w:r>
        <w:t>(六)机关运行经费等重要事项的说明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36" w:right="16" w:firstLine="643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年部门机关运行费预算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159.53</w:t>
      </w:r>
      <w:r>
        <w:rPr>
          <w:spacing w:val="0"/>
          <w:w w:val="100"/>
          <w:position w:val="0"/>
          <w:sz w:val="32"/>
          <w:szCs w:val="32"/>
        </w:rPr>
        <w:t>万元，比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2023</w:t>
      </w:r>
      <w:r>
        <w:rPr>
          <w:spacing w:val="0"/>
          <w:w w:val="100"/>
          <w:position w:val="0"/>
          <w:sz w:val="32"/>
          <w:szCs w:val="32"/>
        </w:rPr>
        <w:t>年预算减少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163.65</w:t>
      </w:r>
      <w:r>
        <w:rPr>
          <w:spacing w:val="0"/>
          <w:w w:val="100"/>
          <w:position w:val="0"/>
          <w:sz w:val="32"/>
          <w:szCs w:val="32"/>
        </w:rPr>
        <w:t>万元，下降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50.6</w:t>
      </w:r>
      <w:r>
        <w:rPr>
          <w:spacing w:val="0"/>
          <w:w w:val="100"/>
          <w:position w:val="0"/>
          <w:sz w:val="32"/>
          <w:szCs w:val="32"/>
        </w:rPr>
        <w:t>%，主要原因是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特定目标类工作经费减少</w:t>
      </w:r>
      <w:r>
        <w:rPr>
          <w:spacing w:val="0"/>
          <w:w w:val="100"/>
          <w:position w:val="0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40" w:lineRule="exact"/>
        <w:jc w:val="both"/>
        <w:textAlignment w:val="baseline"/>
      </w:pPr>
      <w:r>
        <w:t>(七)政府采购情况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29" w:right="15" w:firstLine="655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>采购总额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万元,其中:政府采购货物预算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万元,政府采购工程预算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万元,政府采购服务预算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万元。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40" w:lineRule="exact"/>
        <w:textAlignment w:val="baseline"/>
      </w:pPr>
      <w:r>
        <w:t>(八)国有资产占有使用情况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27" w:right="16" w:firstLine="644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截至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2023</w:t>
      </w:r>
      <w:r>
        <w:rPr>
          <w:spacing w:val="0"/>
          <w:w w:val="100"/>
          <w:position w:val="0"/>
          <w:sz w:val="32"/>
          <w:szCs w:val="32"/>
        </w:rPr>
        <w:t>年7 月 31 日,部门共有车辆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辆,其中：一般公务用车实有数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年部门预算安排购置车辆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辆，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无</w:t>
      </w:r>
      <w:r>
        <w:rPr>
          <w:spacing w:val="0"/>
          <w:w w:val="100"/>
          <w:position w:val="0"/>
          <w:sz w:val="32"/>
          <w:szCs w:val="32"/>
        </w:rPr>
        <w:t>安排购置单位价值200万元以上大型设备。</w:t>
      </w: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40" w:lineRule="exact"/>
        <w:textAlignment w:val="baseline"/>
      </w:pPr>
      <w:r>
        <w:t>（九）项目情况说明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83"/>
        <w:jc w:val="left"/>
        <w:textAlignment w:val="baseline"/>
        <w:rPr>
          <w:rFonts w:hint="eastAsia" w:eastAsia="仿宋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 xml:space="preserve"> 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 xml:space="preserve">   </w:t>
      </w:r>
      <w:r>
        <w:rPr>
          <w:spacing w:val="0"/>
          <w:w w:val="100"/>
          <w:position w:val="0"/>
          <w:sz w:val="32"/>
          <w:szCs w:val="32"/>
        </w:rPr>
        <w:t>本部门本年度未安排项目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二、</w:t>
      </w: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spacing w:val="0"/>
          <w:w w:val="100"/>
          <w:position w:val="0"/>
          <w:sz w:val="32"/>
          <w:szCs w:val="32"/>
        </w:rPr>
        <w:t>“三公”</w:t>
      </w: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经费预算情况说明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16" w:firstLine="640" w:firstLineChars="200"/>
        <w:jc w:val="lef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东湖区董家窑街道办事处</w:t>
      </w:r>
      <w:r>
        <w:rPr>
          <w:spacing w:val="0"/>
          <w:w w:val="100"/>
          <w:position w:val="0"/>
          <w:sz w:val="32"/>
          <w:szCs w:val="32"/>
        </w:rPr>
        <w:t>部门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“</w:t>
      </w:r>
      <w:r>
        <w:rPr>
          <w:spacing w:val="0"/>
          <w:w w:val="100"/>
          <w:position w:val="0"/>
          <w:sz w:val="32"/>
          <w:szCs w:val="32"/>
        </w:rPr>
        <w:t>三公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”</w:t>
      </w:r>
      <w:r>
        <w:rPr>
          <w:spacing w:val="0"/>
          <w:w w:val="100"/>
          <w:position w:val="0"/>
          <w:sz w:val="32"/>
          <w:szCs w:val="32"/>
        </w:rPr>
        <w:t>经费财政拨款安排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万元，其中：因公出国（境）费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万元,比上年增（减）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万元，主要原因是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：</w:t>
      </w:r>
      <w:r>
        <w:rPr>
          <w:spacing w:val="0"/>
          <w:w w:val="100"/>
          <w:position w:val="0"/>
          <w:sz w:val="32"/>
          <w:szCs w:val="32"/>
        </w:rPr>
        <w:t>与上年安排保持一致。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baseline"/>
        <w:rPr>
          <w:rFonts w:hint="eastAsia" w:eastAsia="仿宋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公务接待费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万元,比上年增（减）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万元，主要原因是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：</w:t>
      </w:r>
      <w:r>
        <w:rPr>
          <w:spacing w:val="0"/>
          <w:w w:val="100"/>
          <w:position w:val="0"/>
          <w:sz w:val="32"/>
          <w:szCs w:val="32"/>
        </w:rPr>
        <w:t>与上年安排保持一致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公务用车运行维护费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万元,比上年增（减）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万元，主要原因是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：</w:t>
      </w:r>
      <w:r>
        <w:rPr>
          <w:spacing w:val="0"/>
          <w:w w:val="100"/>
          <w:position w:val="0"/>
          <w:sz w:val="32"/>
          <w:szCs w:val="32"/>
        </w:rPr>
        <w:t>与上年安排保持一致。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baseline"/>
        <w:rPr>
          <w:rFonts w:hint="eastAsia"/>
          <w:spacing w:val="0"/>
          <w:w w:val="100"/>
          <w:position w:val="0"/>
          <w:sz w:val="32"/>
          <w:szCs w:val="32"/>
          <w:lang w:eastAsia="zh-CN"/>
        </w:rPr>
      </w:pPr>
      <w:r>
        <w:rPr>
          <w:spacing w:val="0"/>
          <w:w w:val="100"/>
          <w:position w:val="0"/>
          <w:sz w:val="32"/>
          <w:szCs w:val="32"/>
        </w:rPr>
        <w:t>公务用车购置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万元,比上年增（减）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0</w:t>
      </w:r>
      <w:r>
        <w:rPr>
          <w:spacing w:val="0"/>
          <w:w w:val="100"/>
          <w:position w:val="0"/>
          <w:sz w:val="32"/>
          <w:szCs w:val="32"/>
        </w:rPr>
        <w:t>万元，主要原因是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：</w:t>
      </w:r>
      <w:r>
        <w:rPr>
          <w:spacing w:val="0"/>
          <w:w w:val="100"/>
          <w:position w:val="0"/>
          <w:sz w:val="32"/>
          <w:szCs w:val="32"/>
        </w:rPr>
        <w:t>与上年安排保持一致</w:t>
      </w:r>
      <w:r>
        <w:rPr>
          <w:rFonts w:hint="eastAsia"/>
          <w:spacing w:val="0"/>
          <w:w w:val="100"/>
          <w:positio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baseline"/>
        <w:rPr>
          <w:rFonts w:hint="eastAsia"/>
          <w:spacing w:val="0"/>
          <w:w w:val="100"/>
          <w:position w:val="0"/>
          <w:sz w:val="32"/>
          <w:szCs w:val="32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880" w:firstLineChars="200"/>
        <w:jc w:val="center"/>
        <w:textAlignment w:val="baseline"/>
        <w:rPr>
          <w:rStyle w:val="12"/>
        </w:rPr>
      </w:pPr>
      <w:r>
        <w:rPr>
          <w:rStyle w:val="12"/>
        </w:rPr>
        <w:t>第四部分   名词解释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45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45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一、收入科目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2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各部门结合实际进行解释。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68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（一）财政拨款：指省级财政当年拨付的资金。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4" w:right="14" w:firstLine="643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（二）教育收费资金收入：反映实行专项管理的高中以上学费、住宿费，高校委托培养费，函大、电大、夜大及短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训班培训费等教育收费取得的收入。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6"/>
        <w:jc w:val="righ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（三）事业收入：指事业单位开展专业业务活动及辅助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活动取得的收入。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4"/>
        <w:jc w:val="righ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（四）事业单位经营收入：指事业单位在专业业务活动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2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及辅助活动之外开展非独立核算经营活动取得的收入。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6" w:right="14" w:firstLine="618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（五）附属单位上缴收入：反映事业单位附属的独立核 算单位按规定标准或比例缴纳的各项收入。包括附属的事业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单位上缴的收入和附属的企业上缴的利润等。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6"/>
        <w:jc w:val="righ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（六）上级补助收入：反映事业单位从主管部门和上级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单位取得的非财政补助收入。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6"/>
        <w:jc w:val="right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（七）其他收入：指除财政拨款、事业收入、事业单位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经营收入等以外的各项收入。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80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（八）使用非财政拨款结余：填列历年滚存的非限定用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6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途的非统计财政拨款结余弥补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本</w:t>
      </w:r>
      <w:r>
        <w:rPr>
          <w:spacing w:val="0"/>
          <w:w w:val="100"/>
          <w:position w:val="0"/>
          <w:sz w:val="32"/>
          <w:szCs w:val="32"/>
        </w:rPr>
        <w:t>年收支差额的数额。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6" w:right="153" w:firstLine="644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（九）上年结转和结余：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上</w:t>
      </w:r>
      <w:r>
        <w:rPr>
          <w:spacing w:val="0"/>
          <w:w w:val="100"/>
          <w:position w:val="0"/>
          <w:sz w:val="32"/>
          <w:szCs w:val="32"/>
        </w:rPr>
        <w:t>年全部结转和结余的资金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数</w:t>
      </w:r>
      <w:r>
        <w:rPr>
          <w:spacing w:val="0"/>
          <w:w w:val="100"/>
          <w:position w:val="0"/>
          <w:sz w:val="32"/>
          <w:szCs w:val="32"/>
        </w:rPr>
        <w:t>，包括当年结转结余资金和历年滚存结转结余资金。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45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二、支出科目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6" w:right="72" w:firstLine="637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对部门预算中涉及的支出功能分类科目（明细到项级），结合部门实际，参照《</w:t>
      </w:r>
      <w:r>
        <w:rPr>
          <w:rFonts w:hint="eastAsia"/>
          <w:spacing w:val="0"/>
          <w:w w:val="100"/>
          <w:position w:val="0"/>
          <w:sz w:val="32"/>
          <w:szCs w:val="32"/>
          <w:lang w:val="en-US" w:eastAsia="zh-CN"/>
        </w:rPr>
        <w:t>2024</w:t>
      </w:r>
      <w:r>
        <w:rPr>
          <w:spacing w:val="0"/>
          <w:w w:val="100"/>
          <w:position w:val="0"/>
          <w:sz w:val="32"/>
          <w:szCs w:val="32"/>
        </w:rPr>
        <w:t>年政府收支分类科目》的规范说明进行解释。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845"/>
        <w:textAlignment w:val="baseline"/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w w:val="100"/>
          <w:position w:val="0"/>
          <w:sz w:val="32"/>
          <w:szCs w:val="32"/>
        </w:rPr>
        <w:t>三、相关专业名词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1" w:right="58" w:firstLine="637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（一）机关运行费：指用财政拨款安排的为保障行政单位（含参照公务员法管理的事业单位）运行用于购买货物和服务的各项资金，包括办公费、 印刷费、邮电费、差旅费、会议费、福利费、日常维修费、专用材料及一般设备购置费、办公用房水电费、办公用房取暖费、办公用房物业管理费、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1" w:right="58" w:firstLine="637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公务用车运行维护费以及其他费用。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1" w:right="58" w:firstLine="637"/>
        <w:textAlignment w:val="baseline"/>
        <w:rPr>
          <w:spacing w:val="0"/>
          <w:w w:val="100"/>
          <w:position w:val="0"/>
          <w:sz w:val="32"/>
          <w:szCs w:val="32"/>
        </w:rPr>
      </w:pPr>
      <w:r>
        <w:rPr>
          <w:spacing w:val="0"/>
          <w:w w:val="100"/>
          <w:position w:val="0"/>
          <w:sz w:val="32"/>
          <w:szCs w:val="32"/>
        </w:rPr>
        <w:t>（二）“三公”经费：指用财政拨款安排的因公出国（境）费、公务用车购置及运行维护费和公务接待费。其中，因公出国（境）费反映单位公务出国（境）的国际旅费、国外城市间交通费、住宿费、伙食费、培训费、公杂费等支出；公务用车购置及运行维护费反映单位公务用车车辆购置支出（含车辆购置税、牌照费），按规定保留的公务用车燃料费、维修费、过桥过路费、保险费、安全奖励费用等支出；公务接待费反映单位按规定开支的各类公务接待（含外宾接待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baseline"/>
        <w:rPr>
          <w:spacing w:val="0"/>
          <w:w w:val="100"/>
          <w:position w:val="0"/>
          <w:sz w:val="32"/>
          <w:szCs w:val="32"/>
        </w:rPr>
        <w:sectPr>
          <w:pgSz w:w="11905" w:h="16838"/>
          <w:pgMar w:top="1701" w:right="1757" w:bottom="1701" w:left="1757" w:header="0" w:footer="0" w:gutter="0"/>
          <w:cols w:space="72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03" w:lineRule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附件2-1：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03" w:lineRule="auto"/>
        <w:jc w:val="center"/>
        <w:rPr>
          <w:rFonts w:ascii="方正小标宋简体" w:hAnsi="黑体" w:eastAsia="方正小标宋简体" w:cs="黑体"/>
          <w:color w:val="auto"/>
          <w:spacing w:val="0"/>
          <w:w w:val="100"/>
          <w:positio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收支预算总表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03" w:lineRule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填报单位：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>南昌市东湖区人民政府董家窑街道办事处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               </w:t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单位：万元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</w:t>
      </w:r>
    </w:p>
    <w:tbl>
      <w:tblPr>
        <w:tblStyle w:val="10"/>
        <w:tblW w:w="141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3"/>
        <w:gridCol w:w="843"/>
        <w:gridCol w:w="2458"/>
        <w:gridCol w:w="5103"/>
        <w:gridCol w:w="226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14130" w:type="dxa"/>
            <w:gridSpan w:val="5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收入支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lang w:eastAsia="zh-CN"/>
              </w:rPr>
              <w:t>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 目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预算数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项目（按支出功能科目类级）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预算数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一、财政拨款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一般公共服务支出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1018.93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一般公共预算拨款收入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国防支出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0.05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政府性基金预算拨款收入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社会保障和就业支出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615.00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国有资本经营预算收入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城乡社区支出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152.90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二、教育收费资金收入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住房保障支出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58.00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三、事业收入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四、事业单位经营收入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五、附属单位上缴收入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六、上级补助收入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七、其他收入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本年收入合计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本年支出合计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1844.88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八、使用非财政拨款结余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结转下年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九、上年结转（结余）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130.90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3463" w:type="dxa"/>
            <w:tcBorders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left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收入总计</w:t>
            </w:r>
          </w:p>
        </w:tc>
        <w:tc>
          <w:tcPr>
            <w:tcW w:w="843" w:type="dxa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5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1844.88</w:t>
            </w:r>
          </w:p>
        </w:tc>
        <w:tc>
          <w:tcPr>
            <w:tcW w:w="510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支出总计</w:t>
            </w:r>
          </w:p>
        </w:tc>
        <w:tc>
          <w:tcPr>
            <w:tcW w:w="2263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1844.88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注：由于本表中数据四舍五入原因，部分汇总数据与分项加总之和可能存在尾差（下同）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14" w:lineRule="auto"/>
        <w:rPr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drawing>
          <wp:inline distT="0" distB="0" distL="114300" distR="114300">
            <wp:extent cx="8110855" cy="6380480"/>
            <wp:effectExtent l="0" t="0" r="4445" b="1270"/>
            <wp:docPr id="1" name="图片 12" descr="1710297064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" descr="17102970643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10855" cy="638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drawing>
          <wp:inline distT="0" distB="0" distL="114300" distR="114300">
            <wp:extent cx="8046720" cy="6324600"/>
            <wp:effectExtent l="0" t="0" r="11430" b="0"/>
            <wp:docPr id="2" name="图片 14" descr="171029735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" descr="17102973581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4672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jc w:val="center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财政拨款收支总表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/>
          <w:spacing w:val="0"/>
          <w:w w:val="100"/>
          <w:position w:val="0"/>
        </w:rPr>
      </w:pPr>
      <w:r>
        <w:rPr>
          <w:rFonts w:hint="eastAsia" w:ascii="黑体" w:hAnsi="黑体" w:eastAsia="黑体" w:cs="宋体"/>
          <w:spacing w:val="0"/>
          <w:w w:val="100"/>
          <w:position w:val="0"/>
        </w:rPr>
        <w:t>填报单位：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>南昌市东湖区人民政府董家窑街道办事处</w:t>
      </w:r>
      <w:r>
        <w:rPr>
          <w:rFonts w:hint="eastAsia" w:ascii="黑体" w:hAnsi="黑体" w:eastAsia="黑体" w:cs="宋体"/>
          <w:spacing w:val="0"/>
          <w:w w:val="100"/>
          <w:position w:val="0"/>
        </w:rPr>
        <w:t xml:space="preserve">                                                                 </w:t>
      </w:r>
      <w:r>
        <w:rPr>
          <w:rFonts w:hint="eastAsia" w:ascii="黑体" w:hAnsi="黑体" w:eastAsia="黑体" w:cs="宋体"/>
          <w:spacing w:val="0"/>
          <w:w w:val="100"/>
          <w:position w:val="0"/>
          <w:lang w:val="en-US" w:eastAsia="zh-CN"/>
        </w:rPr>
        <w:t xml:space="preserve">   </w:t>
      </w:r>
      <w:r>
        <w:rPr>
          <w:rFonts w:hint="eastAsia" w:ascii="黑体" w:hAnsi="黑体" w:eastAsia="黑体" w:cs="宋体"/>
          <w:spacing w:val="0"/>
          <w:w w:val="100"/>
          <w:position w:val="0"/>
        </w:rPr>
        <w:t xml:space="preserve">单位：万元                                         </w:t>
      </w:r>
    </w:p>
    <w:tbl>
      <w:tblPr>
        <w:tblStyle w:val="10"/>
        <w:tblW w:w="141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7"/>
        <w:gridCol w:w="1541"/>
        <w:gridCol w:w="3388"/>
        <w:gridCol w:w="1553"/>
        <w:gridCol w:w="2093"/>
        <w:gridCol w:w="23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spacing w:val="0"/>
                <w:w w:val="100"/>
                <w:position w:val="0"/>
                <w:sz w:val="20"/>
                <w:szCs w:val="20"/>
              </w:rPr>
              <w:t>收</w:t>
            </w: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入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9362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 目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预算数</w:t>
            </w: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项目（按支出功能科目类级）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一般公共预算支出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政府性基金预算支出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一、财政拨款收入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一、本年支出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eastAsia="Arial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eastAsia="Arial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一般公共预算拨款收入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eastAsia="Arial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一般公共服务支出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1018.93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1018.93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政府性基金预算拨款收入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eastAsia="Arial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国防支出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0.05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0.05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国有资本经营预算收入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社会保障和就业支出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615.00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615.00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城乡社区支出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22.00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22.00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住房保障支出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58.00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hint="default" w:eastAsia="宋体"/>
                <w:snapToGrid w:val="0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58.00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二、上年结转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二、结转下年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一般公共预算拨款结转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政府性基金预算拨款结转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23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收入总计</w:t>
            </w:r>
          </w:p>
        </w:tc>
        <w:tc>
          <w:tcPr>
            <w:tcW w:w="1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338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支出总计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209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1713.98</w:t>
            </w:r>
          </w:p>
        </w:tc>
        <w:tc>
          <w:tcPr>
            <w:tcW w:w="232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" w:leftChars="20" w:right="42" w:rightChars="20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14" w:lineRule="auto"/>
        <w:rPr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14" w:lineRule="auto"/>
        <w:rPr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eastAsia="zh-CN"/>
        </w:rPr>
        <w:drawing>
          <wp:inline distT="0" distB="0" distL="114300" distR="114300">
            <wp:extent cx="7579995" cy="5835015"/>
            <wp:effectExtent l="0" t="0" r="1905" b="13335"/>
            <wp:docPr id="3" name="图片 15" descr="1710298280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 descr="171029828068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9995" cy="583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14" w:lineRule="auto"/>
        <w:rPr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  <w:lang w:eastAsia="zh-CN"/>
        </w:rPr>
        <w:drawing>
          <wp:inline distT="0" distB="0" distL="114300" distR="114300">
            <wp:extent cx="7406640" cy="5025390"/>
            <wp:effectExtent l="0" t="0" r="3810" b="3810"/>
            <wp:docPr id="4" name="图片 16" descr="171029850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" descr="17102985009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06640" cy="502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44" w:line="203" w:lineRule="auto"/>
        <w:ind w:firstLine="54"/>
        <w:jc w:val="center"/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  <w:lang w:val="en-US" w:eastAsia="zh-CN"/>
        </w:rPr>
        <w:t>财政拨款</w:t>
      </w: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“</w:t>
      </w: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三公</w:t>
      </w: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”</w:t>
      </w: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经费支出表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1" w:lineRule="exact"/>
        <w:rPr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填报单位：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>南昌市东湖区人民政府董家窑街道办事处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                       </w:t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单位：万元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2" w:lineRule="exact"/>
        <w:rPr>
          <w:color w:val="auto"/>
          <w:spacing w:val="0"/>
          <w:w w:val="100"/>
          <w:position w:val="0"/>
        </w:rPr>
      </w:pPr>
    </w:p>
    <w:tbl>
      <w:tblPr>
        <w:tblStyle w:val="1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4097"/>
        <w:gridCol w:w="1122"/>
        <w:gridCol w:w="850"/>
        <w:gridCol w:w="1259"/>
        <w:gridCol w:w="1860"/>
        <w:gridCol w:w="1169"/>
        <w:gridCol w:w="1199"/>
        <w:gridCol w:w="11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单位编码</w:t>
            </w:r>
          </w:p>
        </w:tc>
        <w:tc>
          <w:tcPr>
            <w:tcW w:w="409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单位名称</w:t>
            </w:r>
          </w:p>
        </w:tc>
        <w:tc>
          <w:tcPr>
            <w:tcW w:w="112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3969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因公出国（境）费</w:t>
            </w:r>
          </w:p>
        </w:tc>
        <w:tc>
          <w:tcPr>
            <w:tcW w:w="116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公务接待费</w:t>
            </w:r>
          </w:p>
        </w:tc>
        <w:tc>
          <w:tcPr>
            <w:tcW w:w="119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公务用车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运行维护费</w:t>
            </w:r>
          </w:p>
        </w:tc>
        <w:tc>
          <w:tcPr>
            <w:tcW w:w="117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公务用车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购置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4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409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2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小计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一般公务出国（境）费</w:t>
            </w:r>
          </w:p>
        </w:tc>
        <w:tc>
          <w:tcPr>
            <w:tcW w:w="186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高等院校和科研院 所学术交流合作出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国（境）费</w:t>
            </w:r>
          </w:p>
        </w:tc>
        <w:tc>
          <w:tcPr>
            <w:tcW w:w="116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9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7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黑体" w:hAnsi="黑体" w:eastAsia="黑体"/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409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112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1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2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3</w:t>
            </w:r>
          </w:p>
        </w:tc>
        <w:tc>
          <w:tcPr>
            <w:tcW w:w="186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5</w:t>
            </w:r>
          </w:p>
        </w:tc>
        <w:tc>
          <w:tcPr>
            <w:tcW w:w="119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6</w:t>
            </w:r>
          </w:p>
        </w:tc>
        <w:tc>
          <w:tcPr>
            <w:tcW w:w="117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409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2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86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9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17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注： 若为空表，则为该部门（单位） 无 "三公"经费支出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44" w:line="203" w:lineRule="auto"/>
        <w:ind w:firstLine="54"/>
        <w:jc w:val="center"/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</w:pP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政府性基金预算支出表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填报单位：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>南昌市东湖区人民政府董家窑街道办事处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                         </w:t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单位：万元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</w:t>
      </w:r>
    </w:p>
    <w:tbl>
      <w:tblPr>
        <w:tblStyle w:val="1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4767"/>
        <w:gridCol w:w="2267"/>
        <w:gridCol w:w="2507"/>
        <w:gridCol w:w="25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752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支出功能分类科目</w:t>
            </w:r>
          </w:p>
        </w:tc>
        <w:tc>
          <w:tcPr>
            <w:tcW w:w="7282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2022年预算数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8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科目编码</w:t>
            </w:r>
          </w:p>
        </w:tc>
        <w:tc>
          <w:tcPr>
            <w:tcW w:w="47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科目名称</w:t>
            </w:r>
          </w:p>
        </w:tc>
        <w:tc>
          <w:tcPr>
            <w:tcW w:w="22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250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基本支出</w:t>
            </w:r>
          </w:p>
        </w:tc>
        <w:tc>
          <w:tcPr>
            <w:tcW w:w="250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8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47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22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50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2</w:t>
            </w:r>
          </w:p>
        </w:tc>
        <w:tc>
          <w:tcPr>
            <w:tcW w:w="250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8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功能科目编码</w:t>
            </w:r>
          </w:p>
        </w:tc>
        <w:tc>
          <w:tcPr>
            <w:tcW w:w="47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功能科目名称</w:t>
            </w:r>
          </w:p>
        </w:tc>
        <w:tc>
          <w:tcPr>
            <w:tcW w:w="22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250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基本支出</w:t>
            </w:r>
          </w:p>
        </w:tc>
        <w:tc>
          <w:tcPr>
            <w:tcW w:w="250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黑体" w:hAnsi="黑体" w:eastAsia="黑体" w:cs="宋体"/>
                <w:color w:val="auto"/>
                <w:spacing w:val="0"/>
                <w:w w:val="100"/>
                <w:position w:val="0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8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47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6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50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50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注： 若为空表，则为该部门（单位） 无政府性基金收支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44" w:line="203" w:lineRule="auto"/>
        <w:ind w:firstLine="54"/>
        <w:jc w:val="center"/>
        <w:rPr>
          <w:color w:val="auto"/>
          <w:spacing w:val="0"/>
          <w:w w:val="100"/>
          <w:position w:val="0"/>
        </w:rPr>
      </w:pP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国有资本经营预算支出表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填报单位：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>南昌市东湖区人民政府董家窑街道办事处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             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</w:t>
      </w: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单位：万元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</w:rPr>
        <w:t xml:space="preserve">                                              </w:t>
      </w:r>
    </w:p>
    <w:tbl>
      <w:tblPr>
        <w:tblStyle w:val="1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777"/>
        <w:gridCol w:w="2325"/>
        <w:gridCol w:w="2409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2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支出功能分类科目</w:t>
            </w:r>
          </w:p>
        </w:tc>
        <w:tc>
          <w:tcPr>
            <w:tcW w:w="7428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2022年预算数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科目编码</w:t>
            </w:r>
          </w:p>
        </w:tc>
        <w:tc>
          <w:tcPr>
            <w:tcW w:w="477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科目名称</w:t>
            </w:r>
          </w:p>
        </w:tc>
        <w:tc>
          <w:tcPr>
            <w:tcW w:w="232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24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基本支出</w:t>
            </w:r>
          </w:p>
        </w:tc>
        <w:tc>
          <w:tcPr>
            <w:tcW w:w="26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477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**</w:t>
            </w:r>
          </w:p>
        </w:tc>
        <w:tc>
          <w:tcPr>
            <w:tcW w:w="232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2</w:t>
            </w:r>
          </w:p>
        </w:tc>
        <w:tc>
          <w:tcPr>
            <w:tcW w:w="26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功能科目编码</w:t>
            </w:r>
          </w:p>
        </w:tc>
        <w:tc>
          <w:tcPr>
            <w:tcW w:w="477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功能科目名称</w:t>
            </w:r>
          </w:p>
        </w:tc>
        <w:tc>
          <w:tcPr>
            <w:tcW w:w="232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合计</w:t>
            </w:r>
          </w:p>
        </w:tc>
        <w:tc>
          <w:tcPr>
            <w:tcW w:w="24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基本支出</w:t>
            </w:r>
          </w:p>
        </w:tc>
        <w:tc>
          <w:tcPr>
            <w:tcW w:w="26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477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32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4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ascii="黑体" w:hAnsi="黑体" w:eastAsia="黑体" w:cs="黑体"/>
          <w:color w:val="auto"/>
          <w:spacing w:val="0"/>
          <w:w w:val="100"/>
          <w:position w:val="0"/>
        </w:rPr>
      </w:pPr>
      <w:r>
        <w:rPr>
          <w:rFonts w:ascii="黑体" w:hAnsi="黑体" w:eastAsia="黑体" w:cs="黑体"/>
          <w:color w:val="auto"/>
          <w:spacing w:val="0"/>
          <w:w w:val="100"/>
          <w:position w:val="0"/>
        </w:rPr>
        <w:t>注： 若为空表 ，则为该部门 （单位） 无国有资本经营预算收支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ascii="宋体" w:hAnsi="宋体" w:eastAsia="宋体" w:cs="宋体"/>
          <w:color w:val="auto"/>
          <w:spacing w:val="0"/>
          <w:w w:val="100"/>
          <w:position w:val="0"/>
        </w:rPr>
        <w:sectPr>
          <w:headerReference r:id="rId3" w:type="default"/>
          <w:footerReference r:id="rId4" w:type="default"/>
          <w:pgSz w:w="16838" w:h="11905" w:orient="landscape"/>
          <w:pgMar w:top="1757" w:right="1701" w:bottom="1757" w:left="1701" w:header="0" w:footer="0" w:gutter="0"/>
          <w:pgNumType w:fmt="numberInDash"/>
          <w:cols w:space="720" w:num="1"/>
          <w:rtlGutter w:val="0"/>
          <w:docGrid w:linePitch="286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44" w:line="203" w:lineRule="auto"/>
        <w:ind w:firstLine="54"/>
        <w:jc w:val="center"/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  <w:lang w:eastAsia="zh-CN"/>
        </w:rPr>
        <w:t>2024年</w:t>
      </w: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部门整体支出绩效目标表</w:t>
      </w:r>
    </w:p>
    <w:tbl>
      <w:tblPr>
        <w:tblStyle w:val="10"/>
        <w:tblW w:w="89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436"/>
        <w:gridCol w:w="1958"/>
        <w:gridCol w:w="405"/>
        <w:gridCol w:w="1099"/>
        <w:gridCol w:w="1177"/>
        <w:gridCol w:w="27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1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部门名称</w:t>
            </w:r>
          </w:p>
        </w:tc>
        <w:tc>
          <w:tcPr>
            <w:tcW w:w="7779" w:type="dxa"/>
            <w:gridSpan w:val="6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position w:val="0"/>
                <w:lang w:val="en-US" w:eastAsia="zh-CN"/>
              </w:rPr>
              <w:t>南昌市东湖区人民政府董家窑街道办事处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19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联系人</w:t>
            </w:r>
          </w:p>
        </w:tc>
        <w:tc>
          <w:tcPr>
            <w:tcW w:w="2799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陶莉</w:t>
            </w:r>
          </w:p>
        </w:tc>
        <w:tc>
          <w:tcPr>
            <w:tcW w:w="109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联系电话</w:t>
            </w:r>
          </w:p>
        </w:tc>
        <w:tc>
          <w:tcPr>
            <w:tcW w:w="3881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17770055382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8973" w:type="dxa"/>
            <w:gridSpan w:val="7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部门基本信息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部门所属领域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直属单位包括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内设职能部门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5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编制控制数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在职人员总数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35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其中：行政编制人数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事业编制人数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35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编外人数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8973" w:type="dxa"/>
            <w:gridSpan w:val="7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当年预算情况（万元）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收入预算合计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1,844.88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其中：上级财政拨款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  <w:p>
            <w:pPr>
              <w:tabs>
                <w:tab w:val="left" w:pos="777"/>
              </w:tabs>
              <w:bidi w:val="0"/>
              <w:jc w:val="left"/>
              <w:rPr>
                <w:rFonts w:eastAsia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本级财政安排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1,713.98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其他资金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130.9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支出预算合计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1,844.88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其中：人员经费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1685.28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公用经费</w:t>
            </w:r>
          </w:p>
        </w:tc>
        <w:tc>
          <w:tcPr>
            <w:tcW w:w="236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159.60</w:t>
            </w:r>
          </w:p>
        </w:tc>
        <w:tc>
          <w:tcPr>
            <w:tcW w:w="2276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项目经费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1,015.15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8973" w:type="dxa"/>
            <w:gridSpan w:val="7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年度绩效指标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一级指标</w:t>
            </w:r>
          </w:p>
        </w:tc>
        <w:tc>
          <w:tcPr>
            <w:tcW w:w="195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二级指标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三级指标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目标值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产出指标</w:t>
            </w:r>
          </w:p>
        </w:tc>
        <w:tc>
          <w:tcPr>
            <w:tcW w:w="1958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数量指标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党建活动开展次数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引进千万元项目数量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民生保障工作完成率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省外招商引资次数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≥12次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质量指标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招商引资项目完成率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党建活动主题计划</w:t>
            </w: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相关度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各类民生保障补助发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时效指标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年度重点工作完成及时性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及时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奖补发放及时性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及时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成本指标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工作成本控制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≤1691.98万元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效益指标</w:t>
            </w:r>
          </w:p>
        </w:tc>
        <w:tc>
          <w:tcPr>
            <w:tcW w:w="195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经济效益指标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完成税收基数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≥5722.97万元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社会效益指标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居民文明素质提升情</w:t>
            </w: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况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公众安全感提升情况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/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95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可持续影响指标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长效管理机制健全性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健全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30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满意度指标</w:t>
            </w:r>
          </w:p>
        </w:tc>
        <w:tc>
          <w:tcPr>
            <w:tcW w:w="195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满意度指标</w:t>
            </w:r>
          </w:p>
        </w:tc>
        <w:tc>
          <w:tcPr>
            <w:tcW w:w="2681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社会公众满意度</w:t>
            </w:r>
          </w:p>
        </w:tc>
        <w:tc>
          <w:tcPr>
            <w:tcW w:w="27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</w:rPr>
              <w:t>≥95%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44" w:line="203" w:lineRule="auto"/>
        <w:ind w:firstLine="54"/>
        <w:jc w:val="center"/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</w:pP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项目支出绩效目标表（</w:t>
      </w:r>
      <w:r>
        <w:rPr>
          <w:rFonts w:hint="eastAsia"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  <w:lang w:eastAsia="zh-CN"/>
        </w:rPr>
        <w:t>2024年</w:t>
      </w:r>
      <w:r>
        <w:rPr>
          <w:rFonts w:ascii="方正小标宋简体" w:hAnsi="宋体" w:eastAsia="方正小标宋简体" w:cs="宋体"/>
          <w:color w:val="auto"/>
          <w:spacing w:val="0"/>
          <w:w w:val="100"/>
          <w:position w:val="0"/>
          <w:sz w:val="36"/>
          <w:szCs w:val="36"/>
        </w:rPr>
        <w:t>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color w:val="auto"/>
          <w:spacing w:val="0"/>
          <w:w w:val="100"/>
          <w:position w:val="0"/>
        </w:rPr>
      </w:pPr>
    </w:p>
    <w:tbl>
      <w:tblPr>
        <w:tblStyle w:val="1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7"/>
        <w:gridCol w:w="1436"/>
        <w:gridCol w:w="2018"/>
        <w:gridCol w:w="1499"/>
        <w:gridCol w:w="29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项目名称</w:t>
            </w:r>
          </w:p>
        </w:tc>
        <w:tc>
          <w:tcPr>
            <w:tcW w:w="6429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position w:val="0"/>
                <w:lang w:val="en-US" w:eastAsia="zh-CN"/>
              </w:rPr>
              <w:t>南昌市东湖区人民政府董家窑街道办事处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主管部门</w:t>
            </w:r>
          </w:p>
        </w:tc>
        <w:tc>
          <w:tcPr>
            <w:tcW w:w="201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实施单位</w:t>
            </w: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项目属性</w:t>
            </w:r>
          </w:p>
        </w:tc>
        <w:tc>
          <w:tcPr>
            <w:tcW w:w="2018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当年项目</w:t>
            </w:r>
          </w:p>
        </w:tc>
        <w:tc>
          <w:tcPr>
            <w:tcW w:w="149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项目日期范围</w:t>
            </w: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18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9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（万元）</w:t>
            </w:r>
          </w:p>
        </w:tc>
        <w:tc>
          <w:tcPr>
            <w:tcW w:w="201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年度资金总额</w:t>
            </w:r>
          </w:p>
        </w:tc>
        <w:tc>
          <w:tcPr>
            <w:tcW w:w="4411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1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其中：财政拨款</w:t>
            </w:r>
          </w:p>
        </w:tc>
        <w:tc>
          <w:tcPr>
            <w:tcW w:w="4411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83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01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其他资金</w:t>
            </w:r>
          </w:p>
        </w:tc>
        <w:tc>
          <w:tcPr>
            <w:tcW w:w="4411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012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年度绩效目标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9012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一级指标</w:t>
            </w:r>
          </w:p>
        </w:tc>
        <w:tc>
          <w:tcPr>
            <w:tcW w:w="143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二级指标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三级指标</w:t>
            </w: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产出指标</w:t>
            </w:r>
          </w:p>
        </w:tc>
        <w:tc>
          <w:tcPr>
            <w:tcW w:w="1436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数量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质量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时效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成本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效益指标</w:t>
            </w:r>
          </w:p>
        </w:tc>
        <w:tc>
          <w:tcPr>
            <w:tcW w:w="143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社会效益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3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可持续影响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满意度</w:t>
            </w:r>
          </w:p>
        </w:tc>
        <w:tc>
          <w:tcPr>
            <w:tcW w:w="143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</w:rPr>
              <w:t>满意度</w:t>
            </w:r>
          </w:p>
        </w:tc>
        <w:tc>
          <w:tcPr>
            <w:tcW w:w="3517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291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42" w:leftChars="20" w:right="42" w:rightChars="20"/>
              <w:jc w:val="center"/>
              <w:rPr>
                <w:color w:val="auto"/>
                <w:spacing w:val="0"/>
                <w:w w:val="100"/>
                <w:position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color w:val="auto"/>
          <w:spacing w:val="0"/>
          <w:w w:val="100"/>
          <w:position w:val="0"/>
        </w:rPr>
      </w:pPr>
    </w:p>
    <w:sectPr>
      <w:pgSz w:w="11905" w:h="16838"/>
      <w:pgMar w:top="1701" w:right="1757" w:bottom="1701" w:left="1757" w:header="0" w:footer="0" w:gutter="0"/>
      <w:pgNumType w:fmt="numberInDash"/>
      <w:cols w:space="720" w:num="1"/>
      <w:rtlGutter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E73FAB5-2958-49E0-9B5F-FB68078697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75491DC-EEF2-4FF0-880D-25DDA3BA414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7C87FB4-6B06-4CD1-81A5-BD05564D47E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- 3 -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hyphenationZone w:val="360"/>
  <w:drawingGridHorizontalSpacing w:val="105"/>
  <w:displayHorizontalDrawingGridEvery w:val="2"/>
  <w:displayVerticalDrawingGridEvery w:val="1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ZTYxMWExODJiNTI0NjVmMmQ3YTNkMDVjOGE4YzQifQ=="/>
  </w:docVars>
  <w:rsids>
    <w:rsidRoot w:val="007A2EEF"/>
    <w:rsid w:val="000C1FF9"/>
    <w:rsid w:val="000E6280"/>
    <w:rsid w:val="001233D7"/>
    <w:rsid w:val="00270BE1"/>
    <w:rsid w:val="0028001C"/>
    <w:rsid w:val="002A269C"/>
    <w:rsid w:val="0035240E"/>
    <w:rsid w:val="0038587E"/>
    <w:rsid w:val="003867C6"/>
    <w:rsid w:val="005E29A4"/>
    <w:rsid w:val="005F56AC"/>
    <w:rsid w:val="00665BAD"/>
    <w:rsid w:val="007A2EEF"/>
    <w:rsid w:val="007A52B1"/>
    <w:rsid w:val="008702A5"/>
    <w:rsid w:val="008C6F9A"/>
    <w:rsid w:val="00907BBF"/>
    <w:rsid w:val="0093469F"/>
    <w:rsid w:val="009D6BFE"/>
    <w:rsid w:val="00A61D72"/>
    <w:rsid w:val="00C94350"/>
    <w:rsid w:val="00EC50FD"/>
    <w:rsid w:val="00F9723E"/>
    <w:rsid w:val="00FE7573"/>
    <w:rsid w:val="01691A16"/>
    <w:rsid w:val="01B85F94"/>
    <w:rsid w:val="01DD59FB"/>
    <w:rsid w:val="0228778A"/>
    <w:rsid w:val="029D1A04"/>
    <w:rsid w:val="02B52F2E"/>
    <w:rsid w:val="032B375B"/>
    <w:rsid w:val="03822237"/>
    <w:rsid w:val="03CE5F43"/>
    <w:rsid w:val="03D55BD9"/>
    <w:rsid w:val="04357D70"/>
    <w:rsid w:val="04D754BC"/>
    <w:rsid w:val="05317378"/>
    <w:rsid w:val="05687EAE"/>
    <w:rsid w:val="05BC1993"/>
    <w:rsid w:val="06936FD0"/>
    <w:rsid w:val="06E55C44"/>
    <w:rsid w:val="07706CF7"/>
    <w:rsid w:val="077251A3"/>
    <w:rsid w:val="07A46156"/>
    <w:rsid w:val="08713341"/>
    <w:rsid w:val="08AC2EDD"/>
    <w:rsid w:val="08BE37CC"/>
    <w:rsid w:val="08C142FF"/>
    <w:rsid w:val="08DF0B3D"/>
    <w:rsid w:val="09D75426"/>
    <w:rsid w:val="0A961280"/>
    <w:rsid w:val="0A9E6890"/>
    <w:rsid w:val="0B52745A"/>
    <w:rsid w:val="0C2F46B8"/>
    <w:rsid w:val="0C6A432F"/>
    <w:rsid w:val="0C725B56"/>
    <w:rsid w:val="0C8E44C1"/>
    <w:rsid w:val="0CFB767D"/>
    <w:rsid w:val="0D904269"/>
    <w:rsid w:val="0DB02216"/>
    <w:rsid w:val="0DDD72C7"/>
    <w:rsid w:val="0E3969D8"/>
    <w:rsid w:val="0EAA135B"/>
    <w:rsid w:val="0F036722"/>
    <w:rsid w:val="0F545383"/>
    <w:rsid w:val="0F9475BE"/>
    <w:rsid w:val="0FDA5C70"/>
    <w:rsid w:val="10054DA7"/>
    <w:rsid w:val="100C3CA5"/>
    <w:rsid w:val="102351BA"/>
    <w:rsid w:val="11131AAF"/>
    <w:rsid w:val="113504F7"/>
    <w:rsid w:val="116B365C"/>
    <w:rsid w:val="119A06A2"/>
    <w:rsid w:val="12DC64FA"/>
    <w:rsid w:val="13FA5EF4"/>
    <w:rsid w:val="143A0A8B"/>
    <w:rsid w:val="1537321C"/>
    <w:rsid w:val="15DB743E"/>
    <w:rsid w:val="16361726"/>
    <w:rsid w:val="17AC7EF2"/>
    <w:rsid w:val="180C5D0A"/>
    <w:rsid w:val="18BF5A03"/>
    <w:rsid w:val="192F13FC"/>
    <w:rsid w:val="19750880"/>
    <w:rsid w:val="19921369"/>
    <w:rsid w:val="1A0969D3"/>
    <w:rsid w:val="1A6745A4"/>
    <w:rsid w:val="1AE247A0"/>
    <w:rsid w:val="1B4072CF"/>
    <w:rsid w:val="1B632FBD"/>
    <w:rsid w:val="1BCF4C33"/>
    <w:rsid w:val="1BCF7DE9"/>
    <w:rsid w:val="1C0F0A4F"/>
    <w:rsid w:val="1C1B0A9A"/>
    <w:rsid w:val="1DBC1886"/>
    <w:rsid w:val="1DD106B2"/>
    <w:rsid w:val="1DE238BC"/>
    <w:rsid w:val="1DE36CC0"/>
    <w:rsid w:val="1EA90CE7"/>
    <w:rsid w:val="1EEE0DF0"/>
    <w:rsid w:val="1F040057"/>
    <w:rsid w:val="1F633239"/>
    <w:rsid w:val="1F70408C"/>
    <w:rsid w:val="206C5445"/>
    <w:rsid w:val="21366A7E"/>
    <w:rsid w:val="21E87D78"/>
    <w:rsid w:val="23453FA1"/>
    <w:rsid w:val="237114CC"/>
    <w:rsid w:val="238507A2"/>
    <w:rsid w:val="23DC58D9"/>
    <w:rsid w:val="24C21928"/>
    <w:rsid w:val="24EB2A4F"/>
    <w:rsid w:val="25182615"/>
    <w:rsid w:val="25805630"/>
    <w:rsid w:val="25845C69"/>
    <w:rsid w:val="26296BB1"/>
    <w:rsid w:val="26A5448A"/>
    <w:rsid w:val="26E92DBB"/>
    <w:rsid w:val="270F5DA7"/>
    <w:rsid w:val="27484602"/>
    <w:rsid w:val="2761728D"/>
    <w:rsid w:val="279A1B15"/>
    <w:rsid w:val="27E330E0"/>
    <w:rsid w:val="288F4F0C"/>
    <w:rsid w:val="28D50537"/>
    <w:rsid w:val="28E15521"/>
    <w:rsid w:val="29057462"/>
    <w:rsid w:val="2A703001"/>
    <w:rsid w:val="2A84161B"/>
    <w:rsid w:val="2B4C75CA"/>
    <w:rsid w:val="2C02412C"/>
    <w:rsid w:val="2C071C0F"/>
    <w:rsid w:val="2C4B162F"/>
    <w:rsid w:val="2CAB7921"/>
    <w:rsid w:val="2D1B777C"/>
    <w:rsid w:val="2D5C5ABE"/>
    <w:rsid w:val="2DB9142A"/>
    <w:rsid w:val="2DF301D1"/>
    <w:rsid w:val="2E690493"/>
    <w:rsid w:val="2E945AE0"/>
    <w:rsid w:val="2EC12331"/>
    <w:rsid w:val="2EF31F11"/>
    <w:rsid w:val="2F8C268B"/>
    <w:rsid w:val="2FA84FEB"/>
    <w:rsid w:val="2FC11C09"/>
    <w:rsid w:val="2FFF0249"/>
    <w:rsid w:val="300D4258"/>
    <w:rsid w:val="303C1274"/>
    <w:rsid w:val="307A24E3"/>
    <w:rsid w:val="30DB52C0"/>
    <w:rsid w:val="31660CB9"/>
    <w:rsid w:val="33A91086"/>
    <w:rsid w:val="346534AA"/>
    <w:rsid w:val="34AA5361"/>
    <w:rsid w:val="34C53772"/>
    <w:rsid w:val="35F5677F"/>
    <w:rsid w:val="360D0596"/>
    <w:rsid w:val="37943378"/>
    <w:rsid w:val="38B06316"/>
    <w:rsid w:val="38EB0DB2"/>
    <w:rsid w:val="39260D54"/>
    <w:rsid w:val="39451D3A"/>
    <w:rsid w:val="395526A6"/>
    <w:rsid w:val="39A3465A"/>
    <w:rsid w:val="39E155F7"/>
    <w:rsid w:val="39F03816"/>
    <w:rsid w:val="3A1F310B"/>
    <w:rsid w:val="3B422129"/>
    <w:rsid w:val="3B533939"/>
    <w:rsid w:val="3BAC7C11"/>
    <w:rsid w:val="3BE36EB0"/>
    <w:rsid w:val="3C382151"/>
    <w:rsid w:val="3C496A1C"/>
    <w:rsid w:val="3C9618E6"/>
    <w:rsid w:val="3C9E62F2"/>
    <w:rsid w:val="3CA94508"/>
    <w:rsid w:val="3CE90F7A"/>
    <w:rsid w:val="3D0D307C"/>
    <w:rsid w:val="3D570543"/>
    <w:rsid w:val="3D9C5244"/>
    <w:rsid w:val="3DA74B34"/>
    <w:rsid w:val="3DBF0009"/>
    <w:rsid w:val="3DE23C97"/>
    <w:rsid w:val="3E0C0F2C"/>
    <w:rsid w:val="3E2C6DE7"/>
    <w:rsid w:val="3E304B29"/>
    <w:rsid w:val="3E312F90"/>
    <w:rsid w:val="3E6D4ECD"/>
    <w:rsid w:val="3ECB3B35"/>
    <w:rsid w:val="3EE004CF"/>
    <w:rsid w:val="402C1483"/>
    <w:rsid w:val="407C7C6C"/>
    <w:rsid w:val="409D6291"/>
    <w:rsid w:val="410302D3"/>
    <w:rsid w:val="433B67EB"/>
    <w:rsid w:val="434877D8"/>
    <w:rsid w:val="440F5D7E"/>
    <w:rsid w:val="442671A9"/>
    <w:rsid w:val="443D5D13"/>
    <w:rsid w:val="4447741F"/>
    <w:rsid w:val="44562E10"/>
    <w:rsid w:val="445B6E58"/>
    <w:rsid w:val="449D4235"/>
    <w:rsid w:val="44FF7003"/>
    <w:rsid w:val="4588349D"/>
    <w:rsid w:val="45C269AF"/>
    <w:rsid w:val="463905B1"/>
    <w:rsid w:val="466D002A"/>
    <w:rsid w:val="46950FAC"/>
    <w:rsid w:val="46C6602A"/>
    <w:rsid w:val="46D760FC"/>
    <w:rsid w:val="46EB0B22"/>
    <w:rsid w:val="46F96A11"/>
    <w:rsid w:val="47806F56"/>
    <w:rsid w:val="478563C6"/>
    <w:rsid w:val="488F0C66"/>
    <w:rsid w:val="48BB76E5"/>
    <w:rsid w:val="48CD0933"/>
    <w:rsid w:val="497B26BB"/>
    <w:rsid w:val="49D81BD6"/>
    <w:rsid w:val="4A7F4957"/>
    <w:rsid w:val="4AA2290B"/>
    <w:rsid w:val="4ACA1E61"/>
    <w:rsid w:val="4B08202D"/>
    <w:rsid w:val="4B0B6702"/>
    <w:rsid w:val="4BCA036B"/>
    <w:rsid w:val="4BFA71E9"/>
    <w:rsid w:val="4C111CCC"/>
    <w:rsid w:val="4C813C70"/>
    <w:rsid w:val="4CB37051"/>
    <w:rsid w:val="4D0C5E0D"/>
    <w:rsid w:val="4D64034B"/>
    <w:rsid w:val="4D8E361A"/>
    <w:rsid w:val="4DF72F6D"/>
    <w:rsid w:val="4E410AB3"/>
    <w:rsid w:val="4FE85264"/>
    <w:rsid w:val="504D0B67"/>
    <w:rsid w:val="51363DAD"/>
    <w:rsid w:val="51711289"/>
    <w:rsid w:val="518E7DF8"/>
    <w:rsid w:val="51D20777"/>
    <w:rsid w:val="524349D3"/>
    <w:rsid w:val="52637CA8"/>
    <w:rsid w:val="528D4FE8"/>
    <w:rsid w:val="52BD3BF0"/>
    <w:rsid w:val="54C904E4"/>
    <w:rsid w:val="55110445"/>
    <w:rsid w:val="551322A2"/>
    <w:rsid w:val="552705DC"/>
    <w:rsid w:val="5559450E"/>
    <w:rsid w:val="559E724D"/>
    <w:rsid w:val="55D63DB0"/>
    <w:rsid w:val="56040631"/>
    <w:rsid w:val="572528F9"/>
    <w:rsid w:val="57BA777E"/>
    <w:rsid w:val="584E40D2"/>
    <w:rsid w:val="58793E26"/>
    <w:rsid w:val="59030A18"/>
    <w:rsid w:val="594669FB"/>
    <w:rsid w:val="59A84022"/>
    <w:rsid w:val="59CF1242"/>
    <w:rsid w:val="59FD7DBC"/>
    <w:rsid w:val="5A5D684E"/>
    <w:rsid w:val="5A603874"/>
    <w:rsid w:val="5A9A53AC"/>
    <w:rsid w:val="5BA93667"/>
    <w:rsid w:val="5BB11B5E"/>
    <w:rsid w:val="5BBA4274"/>
    <w:rsid w:val="5C1967A5"/>
    <w:rsid w:val="5C5733B5"/>
    <w:rsid w:val="5C5C4428"/>
    <w:rsid w:val="5C9B540C"/>
    <w:rsid w:val="5CB36BF9"/>
    <w:rsid w:val="5CEE378D"/>
    <w:rsid w:val="5CFB6B47"/>
    <w:rsid w:val="5DAF116F"/>
    <w:rsid w:val="5E4915C3"/>
    <w:rsid w:val="5E4A282F"/>
    <w:rsid w:val="5EB403CA"/>
    <w:rsid w:val="5F047298"/>
    <w:rsid w:val="608069CB"/>
    <w:rsid w:val="61AD1E69"/>
    <w:rsid w:val="62A06EEB"/>
    <w:rsid w:val="62A50D92"/>
    <w:rsid w:val="62BE2B8A"/>
    <w:rsid w:val="62EA7456"/>
    <w:rsid w:val="63F21DB5"/>
    <w:rsid w:val="644B7717"/>
    <w:rsid w:val="647E4E3D"/>
    <w:rsid w:val="64BF74C3"/>
    <w:rsid w:val="64FE3585"/>
    <w:rsid w:val="65301C31"/>
    <w:rsid w:val="65580EF3"/>
    <w:rsid w:val="6598698C"/>
    <w:rsid w:val="66B552CE"/>
    <w:rsid w:val="66FA4DE7"/>
    <w:rsid w:val="687F7DF0"/>
    <w:rsid w:val="69004F74"/>
    <w:rsid w:val="6925245C"/>
    <w:rsid w:val="694B164C"/>
    <w:rsid w:val="69A1416D"/>
    <w:rsid w:val="6B6537B4"/>
    <w:rsid w:val="6BA63166"/>
    <w:rsid w:val="6BB87C0A"/>
    <w:rsid w:val="6BDB75D3"/>
    <w:rsid w:val="6C163A2B"/>
    <w:rsid w:val="6C296590"/>
    <w:rsid w:val="6CA91BEC"/>
    <w:rsid w:val="6CB25662"/>
    <w:rsid w:val="6CE60925"/>
    <w:rsid w:val="6DA560EA"/>
    <w:rsid w:val="6DC839A7"/>
    <w:rsid w:val="6E414065"/>
    <w:rsid w:val="6F1E6154"/>
    <w:rsid w:val="6F39694E"/>
    <w:rsid w:val="6F7615ED"/>
    <w:rsid w:val="702459EC"/>
    <w:rsid w:val="708F3550"/>
    <w:rsid w:val="70D2781A"/>
    <w:rsid w:val="717007BD"/>
    <w:rsid w:val="72275320"/>
    <w:rsid w:val="723E6E35"/>
    <w:rsid w:val="7365240C"/>
    <w:rsid w:val="737E150A"/>
    <w:rsid w:val="737F599B"/>
    <w:rsid w:val="73B1202A"/>
    <w:rsid w:val="73D47729"/>
    <w:rsid w:val="74051691"/>
    <w:rsid w:val="74760B3E"/>
    <w:rsid w:val="751F49D4"/>
    <w:rsid w:val="75F47C0F"/>
    <w:rsid w:val="762C4A25"/>
    <w:rsid w:val="76352D46"/>
    <w:rsid w:val="77170059"/>
    <w:rsid w:val="7799185F"/>
    <w:rsid w:val="77B23E1C"/>
    <w:rsid w:val="77DF669D"/>
    <w:rsid w:val="781A7FD5"/>
    <w:rsid w:val="782B18E2"/>
    <w:rsid w:val="78414C61"/>
    <w:rsid w:val="785F314C"/>
    <w:rsid w:val="788259A6"/>
    <w:rsid w:val="788267A5"/>
    <w:rsid w:val="78CE2999"/>
    <w:rsid w:val="78E20CD2"/>
    <w:rsid w:val="79CE0777"/>
    <w:rsid w:val="79DF3026"/>
    <w:rsid w:val="79FD653B"/>
    <w:rsid w:val="7AB570D9"/>
    <w:rsid w:val="7AEB7713"/>
    <w:rsid w:val="7AEC661D"/>
    <w:rsid w:val="7B073FEC"/>
    <w:rsid w:val="7C056B7D"/>
    <w:rsid w:val="7C07796D"/>
    <w:rsid w:val="7C72298D"/>
    <w:rsid w:val="7CED5941"/>
    <w:rsid w:val="7CF214EB"/>
    <w:rsid w:val="7D07647A"/>
    <w:rsid w:val="7D160FD2"/>
    <w:rsid w:val="7D32101D"/>
    <w:rsid w:val="7D516650"/>
    <w:rsid w:val="7D5C46C9"/>
    <w:rsid w:val="7D6C1D7F"/>
    <w:rsid w:val="7DFD162B"/>
    <w:rsid w:val="7F6B48AC"/>
    <w:rsid w:val="7FD052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0"/>
    <w:pPr>
      <w:autoSpaceDE/>
      <w:autoSpaceDN/>
      <w:spacing w:line="600" w:lineRule="exact"/>
      <w:ind w:firstLine="0" w:firstLineChars="0"/>
      <w:jc w:val="center"/>
      <w:outlineLvl w:val="0"/>
    </w:pPr>
    <w:rPr>
      <w:rFonts w:ascii="方正小标宋_GBK" w:hAnsi="方正小标宋_GBK" w:eastAsia="方正小标宋_GBK" w:cs="宋体"/>
      <w:kern w:val="44"/>
      <w:sz w:val="44"/>
      <w:szCs w:val="48"/>
      <w:lang w:bidi="ar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Lines="0" w:beforeAutospacing="0" w:afterLines="0" w:afterAutospacing="0" w:line="360" w:lineRule="exact"/>
      <w:ind w:firstLine="281" w:firstLineChars="100"/>
      <w:jc w:val="left"/>
      <w:outlineLvl w:val="1"/>
    </w:pPr>
    <w:rPr>
      <w:rFonts w:ascii="Arial" w:hAnsi="Arial" w:eastAsia="黑体" w:cs="Calibri"/>
      <w:sz w:val="24"/>
      <w:szCs w:val="21"/>
    </w:rPr>
  </w:style>
  <w:style w:type="paragraph" w:styleId="4">
    <w:name w:val="heading 3"/>
    <w:basedOn w:val="1"/>
    <w:next w:val="1"/>
    <w:unhideWhenUsed/>
    <w:qFormat/>
    <w:uiPriority w:val="0"/>
    <w:pPr>
      <w:spacing w:beforeAutospacing="0" w:afterAutospacing="0" w:line="560" w:lineRule="exact"/>
      <w:ind w:firstLine="640" w:firstLineChars="200"/>
      <w:jc w:val="left"/>
      <w:outlineLvl w:val="2"/>
    </w:pPr>
    <w:rPr>
      <w:rFonts w:ascii="楷体_GB2312" w:hAnsi="楷体_GB2312" w:eastAsia="楷体_GB2312" w:cs="宋体"/>
      <w:b/>
      <w:bCs/>
      <w:sz w:val="32"/>
      <w:szCs w:val="27"/>
    </w:rPr>
  </w:style>
  <w:style w:type="character" w:default="1" w:styleId="11">
    <w:name w:val="Default Paragraph Font"/>
    <w:autoRedefine/>
    <w:unhideWhenUsed/>
    <w:uiPriority w:val="1"/>
  </w:style>
  <w:style w:type="table" w:default="1" w:styleId="10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Times New Roman"/>
      <w:snapToGrid/>
      <w:color w:val="auto"/>
      <w:sz w:val="24"/>
      <w:szCs w:val="24"/>
    </w:rPr>
  </w:style>
  <w:style w:type="character" w:customStyle="1" w:styleId="12">
    <w:name w:val="标题 1 Char"/>
    <w:link w:val="2"/>
    <w:autoRedefine/>
    <w:qFormat/>
    <w:uiPriority w:val="0"/>
    <w:rPr>
      <w:rFonts w:ascii="方正小标宋_GBK" w:hAnsi="方正小标宋_GBK" w:eastAsia="方正小标宋_GBK" w:cs="宋体"/>
      <w:kern w:val="44"/>
      <w:sz w:val="44"/>
      <w:szCs w:val="48"/>
      <w:lang w:val="en-US" w:eastAsia="zh-CN" w:bidi="ar"/>
    </w:rPr>
  </w:style>
  <w:style w:type="character" w:customStyle="1" w:styleId="13">
    <w:name w:val="批注框文本 Char"/>
    <w:basedOn w:val="11"/>
    <w:link w:val="6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14">
    <w:name w:val="页脚 Char"/>
    <w:basedOn w:val="11"/>
    <w:link w:val="7"/>
    <w:autoRedefine/>
    <w:qFormat/>
    <w:uiPriority w:val="99"/>
    <w:rPr>
      <w:rFonts w:eastAsia="Arial"/>
      <w:snapToGrid w:val="0"/>
      <w:color w:val="000000"/>
      <w:sz w:val="18"/>
      <w:szCs w:val="18"/>
    </w:rPr>
  </w:style>
  <w:style w:type="character" w:customStyle="1" w:styleId="15">
    <w:name w:val="row_tree_level_4"/>
    <w:basedOn w:val="11"/>
    <w:autoRedefine/>
    <w:qFormat/>
    <w:uiPriority w:val="0"/>
  </w:style>
  <w:style w:type="paragraph" w:customStyle="1" w:styleId="16">
    <w:name w:val="p0"/>
    <w:basedOn w:val="1"/>
    <w:autoRedefine/>
    <w:qFormat/>
    <w:uiPriority w:val="0"/>
    <w:rPr>
      <w:rFonts w:ascii="Times New Roman" w:hAnsi="Times New Roman" w:eastAsia="宋体" w:cs="Times New Roman"/>
    </w:rPr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53</Pages>
  <Words>9598</Words>
  <Characters>9838</Characters>
  <Lines>68</Lines>
  <Paragraphs>19</Paragraphs>
  <TotalTime>10</TotalTime>
  <ScaleCrop>false</ScaleCrop>
  <LinksUpToDate>false</LinksUpToDate>
  <CharactersWithSpaces>12888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2023-02-16T10:15:00Z</dcterms:created>
  <dc:creator>NOIR</dc:creator>
  <cp:lastModifiedBy>归寻</cp:lastModifiedBy>
  <cp:lastPrinted>2023-02-20T07:37:00Z</cp:lastPrinted>
  <dcterms:modified xsi:type="dcterms:W3CDTF">2025-08-26T01:18:46Z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2022-02-28T18:39:59Z</vt:filetime>
  </property>
  <property fmtid="{D5CDD505-2E9C-101B-9397-08002B2CF9AE}" pid="4" name="KSOProductBuildVer">
    <vt:lpwstr>2052-12.1.0.16399</vt:lpwstr>
  </property>
  <property fmtid="{D5CDD505-2E9C-101B-9397-08002B2CF9AE}" pid="5" name="ICV">
    <vt:lpwstr>6D6E54005B7544F09ACA7F73FD3E6B03_13</vt:lpwstr>
  </property>
</Properties>
</file>