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FA09" w14:textId="77777777" w:rsidR="00917DEA" w:rsidRDefault="00917DEA">
      <w:pPr>
        <w:pStyle w:val="a3"/>
        <w:shd w:val="clear" w:color="auto" w:fill="FFFFFF"/>
        <w:spacing w:beforeAutospacing="0" w:afterAutospacing="0" w:line="600" w:lineRule="exact"/>
        <w:jc w:val="both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bookmarkStart w:id="0" w:name="OLE_LINK1"/>
    </w:p>
    <w:p w14:paraId="61A8FBBE" w14:textId="5D3E4F9E" w:rsidR="00917DEA" w:rsidRDefault="00153F71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东湖区司法局2</w:t>
      </w:r>
      <w:r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  <w:t>021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年度政府信息公开工作年度报告</w:t>
      </w:r>
    </w:p>
    <w:p w14:paraId="2ACE8503" w14:textId="77777777" w:rsidR="00917DEA" w:rsidRPr="00153F71" w:rsidRDefault="00917DEA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 w14:paraId="4FD18786" w14:textId="77777777" w:rsidR="00917DEA" w:rsidRDefault="00153F7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总体情况</w:t>
      </w:r>
    </w:p>
    <w:p w14:paraId="695DF2FE" w14:textId="21F4059F" w:rsidR="006A0B1D" w:rsidRPr="006A0B1D" w:rsidRDefault="006A0B1D" w:rsidP="00153F71">
      <w:pPr>
        <w:pStyle w:val="a3"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2021年，区司法局认真贯彻落实《中华人民共和国政府信息公开条例》及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东湖区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政务公开工作要求，</w:t>
      </w:r>
      <w:proofErr w:type="gramStart"/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践行</w:t>
      </w:r>
      <w:proofErr w:type="gramEnd"/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法治为民理念，聚焦社会关切的全面依法治区、法治政府建设、法治社会建设、公共法律服务等信息，不断提升公开实效。</w:t>
      </w:r>
    </w:p>
    <w:p w14:paraId="33BB600A" w14:textId="3BE1F1BF" w:rsidR="006A0B1D" w:rsidRPr="006A0B1D" w:rsidRDefault="006A0B1D" w:rsidP="00153F71">
      <w:pPr>
        <w:pStyle w:val="a3"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153F71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1、主动公开情况：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上级要求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积极做好主动公开工作。主动公开范围主要包括司法行政领域工作开展情况等。深入学习宣传贯彻习近平法治思想并制定实施意见，印发区委全面依法治区委员会2021年工作要点与责任分工、区法治政府建设主要任务及职责分工、区普法依法治理工作要点等，开展民法典宣传、宪法宣传周等普法活动。</w:t>
      </w:r>
    </w:p>
    <w:p w14:paraId="3B89ED74" w14:textId="275FCF44" w:rsidR="006A0B1D" w:rsidRPr="006A0B1D" w:rsidRDefault="006A0B1D" w:rsidP="00153F71">
      <w:pPr>
        <w:pStyle w:val="a3"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153F71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2、依申请公开情况：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截至2021年底，共受理依申请信息公开申请</w:t>
      </w:r>
      <w:r w:rsidR="00DF0122"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  <w:t>0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件。</w:t>
      </w:r>
    </w:p>
    <w:p w14:paraId="55FDAC55" w14:textId="77777777" w:rsidR="006A0B1D" w:rsidRPr="006A0B1D" w:rsidRDefault="006A0B1D" w:rsidP="00153F71">
      <w:pPr>
        <w:pStyle w:val="a3"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153F71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3、政府信息管理情况：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落实公文公开属性源头认定机制，在发文拟稿阶段即明确公文的公开属性等要素，履行相关审批手续。落实公开信息审查流程，确保发布信息规范、及时、准确。</w:t>
      </w:r>
    </w:p>
    <w:p w14:paraId="60BD448E" w14:textId="1B7CDED8" w:rsidR="006A0B1D" w:rsidRPr="006A0B1D" w:rsidRDefault="006A0B1D" w:rsidP="00153F71">
      <w:pPr>
        <w:pStyle w:val="a3"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153F71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4、政府信息公开平台建设情况：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加强线上平台建设，</w:t>
      </w:r>
      <w:r w:rsidR="00DF0122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在</w:t>
      </w:r>
      <w:proofErr w:type="gramStart"/>
      <w:r w:rsidR="00DF0122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微信公众号及抖音</w:t>
      </w:r>
      <w:proofErr w:type="gramEnd"/>
      <w:r w:rsidR="00DF0122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新媒体等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及时更新法治动态等，有效回应群众公开诉求。</w:t>
      </w:r>
    </w:p>
    <w:p w14:paraId="7156956E" w14:textId="31AABC14" w:rsidR="00917DEA" w:rsidRPr="006A0B1D" w:rsidRDefault="006A0B1D" w:rsidP="00153F71">
      <w:pPr>
        <w:pStyle w:val="a3"/>
        <w:shd w:val="clear" w:color="auto" w:fill="FFFFFF"/>
        <w:spacing w:beforeAutospacing="0" w:afterAutospacing="0" w:line="500" w:lineRule="exact"/>
        <w:ind w:firstLine="42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153F71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5、监督保障情况：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积极参加区政府</w:t>
      </w:r>
      <w:r w:rsidR="00DF0122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以及上级司法行政部门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政务公开工作培训，提升相关工作人员知识储备和业务水</w:t>
      </w:r>
      <w:r w:rsidRPr="006A0B1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lastRenderedPageBreak/>
        <w:t>平。</w:t>
      </w:r>
    </w:p>
    <w:p w14:paraId="21AF94A0" w14:textId="77777777" w:rsidR="00917DEA" w:rsidRDefault="00153F7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 w14:paraId="67E574BF" w14:textId="77777777" w:rsidR="00917DEA" w:rsidRDefault="00917DEA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tbl>
      <w:tblPr>
        <w:tblW w:w="9369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175"/>
        <w:gridCol w:w="2250"/>
        <w:gridCol w:w="2134"/>
      </w:tblGrid>
      <w:tr w:rsidR="00917DEA" w14:paraId="294CD033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BCAD2F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第二十条第（一）项</w:t>
            </w:r>
          </w:p>
        </w:tc>
      </w:tr>
      <w:tr w:rsidR="00917DEA" w14:paraId="78D5DC1A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DBEC21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FE58EC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</w:t>
            </w:r>
            <w:r>
              <w:rPr>
                <w:rFonts w:ascii="宋体" w:hAnsi="宋体" w:cs="宋体" w:hint="eastAsia"/>
                <w:kern w:val="0"/>
                <w:sz w:val="22"/>
              </w:rPr>
              <w:t>制发件数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A632A6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本年废止件数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F1DDC7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现行有效件数</w:t>
            </w:r>
          </w:p>
        </w:tc>
      </w:tr>
      <w:tr w:rsidR="00917DEA" w14:paraId="252592BB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69D638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4BF716" w14:textId="2DBA476E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52F18B" w14:textId="5E530E5E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092037" w14:textId="335B09F6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917DEA" w14:paraId="3945FBBC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7AE4FB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AF2AE0" w14:textId="0D282646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0CCE56" w14:textId="027993CF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546F7D" w14:textId="6DF59C49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917DEA" w14:paraId="732A7EE8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D71AC3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第二十条第（五）项</w:t>
            </w:r>
          </w:p>
        </w:tc>
      </w:tr>
      <w:tr w:rsidR="00917DEA" w14:paraId="53228341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5382D7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6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CF55FC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本年处理决定数量</w:t>
            </w:r>
          </w:p>
        </w:tc>
      </w:tr>
      <w:tr w:rsidR="00917DEA" w14:paraId="0E9068DE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12453A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行政许可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F6C27F" w14:textId="5850F624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917DEA" w14:paraId="71E97B5B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13C13F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第二十条第（六）项</w:t>
            </w:r>
          </w:p>
        </w:tc>
      </w:tr>
      <w:tr w:rsidR="00917DEA" w14:paraId="7F2DA75B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2E3A5C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6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81AF43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本年处理决定数量</w:t>
            </w:r>
          </w:p>
        </w:tc>
      </w:tr>
      <w:tr w:rsidR="00917DEA" w14:paraId="5F53A587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7A3E61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B7CD82" w14:textId="34FFA214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917DEA" w14:paraId="578B0C3C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0219D1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行政强制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A51E60" w14:textId="4DF9B01B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917DEA" w14:paraId="09B8D25D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613EF4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第二十条第（八）项</w:t>
            </w:r>
          </w:p>
        </w:tc>
      </w:tr>
      <w:tr w:rsidR="00917DEA" w14:paraId="4E35147D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6AE459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C6E467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本年收费金额（单元：万元）</w:t>
            </w:r>
          </w:p>
        </w:tc>
      </w:tr>
      <w:tr w:rsidR="00917DEA" w14:paraId="0F97B62B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5FEDC7" w14:textId="77777777" w:rsidR="00917DEA" w:rsidRDefault="00153F71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行政事业性收费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31DA7D" w14:textId="7EE5E9A6" w:rsidR="00917DEA" w:rsidRDefault="00DF0122">
            <w:pPr>
              <w:widowControl/>
              <w:spacing w:line="6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</w:tbl>
    <w:p w14:paraId="4A345168" w14:textId="77777777" w:rsidR="00917DEA" w:rsidRDefault="00917DEA">
      <w:pPr>
        <w:pStyle w:val="a3"/>
        <w:shd w:val="clear" w:color="auto" w:fill="FFFFFF"/>
        <w:spacing w:beforeAutospacing="0" w:afterAutospacing="0" w:line="600" w:lineRule="exact"/>
        <w:ind w:firstLineChars="100" w:firstLine="3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p w14:paraId="5423EF0D" w14:textId="77777777" w:rsidR="00917DEA" w:rsidRDefault="00153F71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Chars="100" w:firstLine="3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p w14:paraId="0196B1A0" w14:textId="77777777" w:rsidR="00917DEA" w:rsidRDefault="00917DEA">
      <w:pPr>
        <w:pStyle w:val="a3"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tbl>
      <w:tblPr>
        <w:tblW w:w="946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65"/>
        <w:gridCol w:w="2865"/>
        <w:gridCol w:w="885"/>
        <w:gridCol w:w="660"/>
        <w:gridCol w:w="660"/>
        <w:gridCol w:w="900"/>
        <w:gridCol w:w="855"/>
        <w:gridCol w:w="548"/>
        <w:gridCol w:w="695"/>
      </w:tblGrid>
      <w:tr w:rsidR="00917DEA" w14:paraId="694E65C7" w14:textId="77777777">
        <w:trPr>
          <w:jc w:val="center"/>
        </w:trPr>
        <w:tc>
          <w:tcPr>
            <w:tcW w:w="4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8E9D2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2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9ED496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申请人情况</w:t>
            </w:r>
          </w:p>
        </w:tc>
      </w:tr>
      <w:tr w:rsidR="00917DEA" w14:paraId="502D5474" w14:textId="77777777">
        <w:trPr>
          <w:jc w:val="center"/>
        </w:trPr>
        <w:tc>
          <w:tcPr>
            <w:tcW w:w="4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A37F72" w14:textId="77777777" w:rsidR="00917DEA" w:rsidRDefault="00917DE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5D37CB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32387F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AE1A22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 w:rsidR="00917DEA" w14:paraId="36209908" w14:textId="77777777">
        <w:trPr>
          <w:trHeight w:val="414"/>
          <w:jc w:val="center"/>
        </w:trPr>
        <w:tc>
          <w:tcPr>
            <w:tcW w:w="4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0DD8A1" w14:textId="77777777" w:rsidR="00917DEA" w:rsidRDefault="00917DE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C8750" w14:textId="77777777" w:rsidR="00917DEA" w:rsidRDefault="00917DE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1FAE0E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商业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650616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科研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739E9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社会公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益组织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6550CD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法律服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务机构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981F1" w14:textId="77777777" w:rsidR="00917DEA" w:rsidRDefault="00153F71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5AEC1B" w14:textId="77777777" w:rsidR="00917DEA" w:rsidRDefault="00917DE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33BE6" w14:paraId="617CABB5" w14:textId="77777777" w:rsidTr="00EA4559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9B9DDA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374C9" w14:textId="2994734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97CA4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40C86" w14:textId="3F1832D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97CA4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151CA" w14:textId="1E62D16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97CA4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B7571" w14:textId="5007FC7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97CA4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55FB1" w14:textId="5D6E175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97CA4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4FC05" w14:textId="6382F6F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97CA4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F502E3" w14:textId="5541907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0</w:t>
            </w:r>
          </w:p>
        </w:tc>
      </w:tr>
      <w:tr w:rsidR="00733BE6" w14:paraId="2D9CE1E5" w14:textId="77777777" w:rsidTr="007A00A1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D43884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8D9CD" w14:textId="483A564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315FA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849A5" w14:textId="010DAB1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315FA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DECF3" w14:textId="0468634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315FA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7EDFC" w14:textId="33B6365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315FA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1AFDE" w14:textId="704ED9B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315FA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4B0E3" w14:textId="1C03079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315FA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2DB1D" w14:textId="1A25FC0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315FA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09AE0CF5" w14:textId="77777777" w:rsidTr="001C57B8"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2D96B" w14:textId="7777777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ABC5CB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FFA8D" w14:textId="7CFA652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BCC2B" w14:textId="322325C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4320A" w14:textId="5E4AF12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067C0" w14:textId="7F3F9C6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8FA7B" w14:textId="6A8A342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E1055" w14:textId="1B4B43D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569F1" w14:textId="1FC88C9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3030D937" w14:textId="77777777" w:rsidTr="001C57B8">
        <w:trPr>
          <w:trHeight w:val="90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3D4A3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175E9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55FDB" w14:textId="2D084A9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B4A32" w14:textId="096E0F3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A40E6" w14:textId="7C12FB4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87E22" w14:textId="465FF6C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BE29A" w14:textId="52FEFD6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0F85A" w14:textId="31763B2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45655" w14:textId="6BC6E1AF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166C43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04E5C8FC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9E0C1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003AC8" w14:textId="7777777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BEF5D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A7B0E" w14:textId="38A2B73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FB1BD" w14:textId="4A0D158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2577C" w14:textId="0E84757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2EFE3" w14:textId="4AFDFF3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9A803" w14:textId="497D662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F5F0B" w14:textId="6E4CD06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E0EAC" w14:textId="7948309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41C349F1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5C1F9E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35F9D1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BDA5DC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0C815" w14:textId="555BDA2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89B54" w14:textId="72FEB9E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BCD37" w14:textId="0A9ACD9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C9FCF" w14:textId="0D359B7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B8019" w14:textId="6AC5784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E05E3" w14:textId="13E346B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4C841" w14:textId="617CCEA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05EE099D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884B4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07EBA6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7F554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B6FEF" w14:textId="3FCCD8D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1E430" w14:textId="312E83B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BE066" w14:textId="6FCEDE2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C9686" w14:textId="5C99983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E77B0E" w14:textId="34A3406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8A2E5" w14:textId="111C07B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E3116" w14:textId="0C117C5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02776B69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F37FD0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7B15BE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E094B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7520B" w14:textId="30A7A5A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35AFF" w14:textId="607F271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6AACC" w14:textId="6E2D10A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33CDB" w14:textId="0B7259F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29B36" w14:textId="75E9E9A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957FC" w14:textId="7B5FA96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13191" w14:textId="15DB157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76FBA609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60458E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592B16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6B4F2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88C77" w14:textId="2A8B6AB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1A84B" w14:textId="090B9EF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210DA" w14:textId="51E5919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D393C" w14:textId="3CF2319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199BEB" w14:textId="29B5CE1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F8095" w14:textId="1FF3A72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4916C" w14:textId="10D3D24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0EE0CE38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1DA440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330431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349695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1903F" w14:textId="418A916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78A9E" w14:textId="1DDEE62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DB60D" w14:textId="6F0F387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DE4DF" w14:textId="32657E6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1F1D1" w14:textId="3EB1009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6983F" w14:textId="6160FE1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B8100" w14:textId="2937737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33E3F4BB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53FF80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7DC470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5EEF3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CE0A1" w14:textId="7BF9E85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126019" w14:textId="0B30B11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D703B" w14:textId="35F68C5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75669" w14:textId="7AAEAAE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ABEDC" w14:textId="27702A0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8A0B0" w14:textId="6101115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96491" w14:textId="4F549AF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10008126" w14:textId="77777777" w:rsidTr="00CC1EBC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06C8B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0FCB2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AAF73A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B5F9D" w14:textId="3D5391C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FC0F5" w14:textId="6605FB3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5650" w14:textId="4E73C94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E16B4" w14:textId="19E035D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9B07D" w14:textId="1507FB9F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46E9E" w14:textId="01035E6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4A0FA" w14:textId="7BCA5C5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93F21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6324DE5F" w14:textId="77777777" w:rsidTr="00BF5940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67389C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F3C683" w14:textId="7777777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36396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03CB8" w14:textId="2E12430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646C5" w14:textId="5FAC21A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5CAF0" w14:textId="3495B9B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704B9" w14:textId="788A75D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CF524" w14:textId="1731AAA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527F2" w14:textId="4A9E98E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156E" w14:textId="7F28F47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7ADB4580" w14:textId="77777777" w:rsidTr="00BF5940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73D24F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57D47A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7F1380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C04C4" w14:textId="0DA1685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FC95D" w14:textId="69944E0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CDFDC" w14:textId="6F02AFC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4C40C" w14:textId="72D8C1E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20B5B" w14:textId="676C81C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A5370" w14:textId="415CFDAF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FBE11" w14:textId="61380D4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115FB6EE" w14:textId="77777777" w:rsidTr="00BF5940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062999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6B438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EC6F75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CAE4D" w14:textId="042D79F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78ECC" w14:textId="798313A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E053F" w14:textId="551DEFEF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C1343" w14:textId="0092B4E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0BAEDA" w14:textId="48BB0AE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FE644" w14:textId="277CF0A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1AF52" w14:textId="3E61C9D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C162AC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36E220A2" w14:textId="77777777" w:rsidTr="00153F1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F98FA5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0875D9" w14:textId="7777777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DD58F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68C9E" w14:textId="7C596E8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D4FAE" w14:textId="1A48979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6AE96" w14:textId="61B21B7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48B4F" w14:textId="7E9A3C0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10EDE" w14:textId="6533018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44B31" w14:textId="498158BF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56A0B" w14:textId="2DDC3FD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051598B2" w14:textId="77777777" w:rsidTr="00153F1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0AAB6A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5EBCB3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A0BE6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74D79" w14:textId="0DF2FFF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3E969" w14:textId="6DEC91EF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E1B70" w14:textId="08D4C40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F7DAA" w14:textId="7DFDFE4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4C4C3" w14:textId="70CEE1E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D5D29" w14:textId="0236649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BAC16" w14:textId="758A9AD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1F03756E" w14:textId="77777777" w:rsidTr="00153F1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F89D5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A76774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89406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37D93" w14:textId="3E52CAE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5509D" w14:textId="27A7775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25333" w14:textId="6572116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EC643" w14:textId="1411084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8C00C" w14:textId="4BBD1B6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C5FAE" w14:textId="7BBCC59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F6F74" w14:textId="6162DB4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18896428" w14:textId="77777777" w:rsidTr="00153F1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CD0F4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9123C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D495B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425C9" w14:textId="093EB26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0A93D2" w14:textId="5E9ACFE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5A63E" w14:textId="641328E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79941" w14:textId="6C76F922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F087E" w14:textId="30D233F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56DE3" w14:textId="13F55DE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258C70" w14:textId="288252D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07857010" w14:textId="77777777" w:rsidTr="00153F16">
        <w:trPr>
          <w:trHeight w:val="66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4003D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A01DD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C6210C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EB82E" w14:textId="454F9D0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C88FD" w14:textId="74259AD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0284E" w14:textId="4E145F5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6FC5E" w14:textId="2B4084C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C9FA8" w14:textId="0B1F440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5AD05" w14:textId="471FE68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B937A" w14:textId="2AAFB54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54F77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54F3F7FE" w14:textId="77777777" w:rsidTr="00920CF6">
        <w:trPr>
          <w:trHeight w:val="66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28C6E4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2F1B2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EFD79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EF38E" w14:textId="7533013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C27E4E" w14:textId="290FAA0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44982" w14:textId="3BA90E7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4CB88" w14:textId="745640F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0E8F1" w14:textId="274B6445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A5126F" w14:textId="7EED560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0FE99" w14:textId="30303EF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4078AF39" w14:textId="77777777" w:rsidTr="00920CF6">
        <w:trPr>
          <w:trHeight w:val="66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D9EE5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585F1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3044B9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91C56" w14:textId="40C38D4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0F2BF" w14:textId="58FB4C4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D6B9E" w14:textId="5F9BBAB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66B42" w14:textId="2C0718B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D9B2B" w14:textId="12526B5C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69272" w14:textId="720B225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CE061" w14:textId="45ED475A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7F7568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27578E43" w14:textId="77777777" w:rsidTr="007E7994">
        <w:trPr>
          <w:trHeight w:val="414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6EA35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3DE8D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6DA542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9AD3E" w14:textId="0031F42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22739D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7FC4F" w14:textId="1770BAB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22739D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76C44" w14:textId="5AB7AE96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22739D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1596C" w14:textId="53B189D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22739D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073A7" w14:textId="5D02B960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22739D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1AB67" w14:textId="4C8E8CC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22739D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9712C" w14:textId="13BAFC78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22739D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3A8237A5" w14:textId="77777777" w:rsidTr="005849DA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95BAE" w14:textId="77777777" w:rsidR="00733BE6" w:rsidRDefault="00733BE6" w:rsidP="00733BE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3F1D05" w14:textId="77777777" w:rsidR="00733BE6" w:rsidRDefault="00733BE6" w:rsidP="00733BE6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9177F" w14:textId="7D298BB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8F325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70BF9" w14:textId="3DE1472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8F325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32913" w14:textId="0673065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8F325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BB7AAC" w14:textId="05C6544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8F325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DD7E0" w14:textId="249AFAA3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8F325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F797A" w14:textId="688DFB7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8F3253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413A3" w14:textId="26B22C0E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8F3253"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733BE6" w14:paraId="22A835BC" w14:textId="77777777" w:rsidTr="00495648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9D9035" w14:textId="77777777" w:rsidR="00733BE6" w:rsidRDefault="00733BE6" w:rsidP="00733BE6">
            <w:pPr>
              <w:widowControl/>
              <w:spacing w:after="180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1FDDF" w14:textId="5DAE87B4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091950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652BD3" w14:textId="0B98E62D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091950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F395C" w14:textId="03C30167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091950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85411" w14:textId="6B19709B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091950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DDB41" w14:textId="4A01E03F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091950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1269B" w14:textId="4504A721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091950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2C18D" w14:textId="4E1C1029" w:rsidR="00733BE6" w:rsidRDefault="00733BE6" w:rsidP="00733BE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091950">
              <w:rPr>
                <w:rFonts w:ascii="宋体" w:hAnsi="宋体" w:cs="宋体" w:hint="eastAsia"/>
                <w:sz w:val="22"/>
              </w:rPr>
              <w:t>0</w:t>
            </w:r>
          </w:p>
        </w:tc>
      </w:tr>
    </w:tbl>
    <w:p w14:paraId="2A223C59" w14:textId="77777777" w:rsidR="00917DEA" w:rsidRDefault="00917DEA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 w14:paraId="7E71EE02" w14:textId="77777777" w:rsidR="00917DEA" w:rsidRDefault="00153F7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14:paraId="73C4AE19" w14:textId="77777777" w:rsidR="00917DEA" w:rsidRDefault="00917DEA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tbl>
      <w:tblPr>
        <w:tblW w:w="942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30"/>
        <w:gridCol w:w="660"/>
        <w:gridCol w:w="705"/>
        <w:gridCol w:w="495"/>
        <w:gridCol w:w="735"/>
        <w:gridCol w:w="645"/>
        <w:gridCol w:w="654"/>
        <w:gridCol w:w="651"/>
        <w:gridCol w:w="465"/>
        <w:gridCol w:w="675"/>
        <w:gridCol w:w="645"/>
        <w:gridCol w:w="705"/>
        <w:gridCol w:w="675"/>
        <w:gridCol w:w="421"/>
      </w:tblGrid>
      <w:tr w:rsidR="00917DEA" w14:paraId="7CE32BA3" w14:textId="77777777">
        <w:trPr>
          <w:trHeight w:val="385"/>
          <w:jc w:val="center"/>
        </w:trPr>
        <w:tc>
          <w:tcPr>
            <w:tcW w:w="31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57DA29" w14:textId="77777777" w:rsidR="00917DEA" w:rsidRDefault="00153F7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593215" w14:textId="77777777" w:rsidR="00917DEA" w:rsidRDefault="00153F7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17DEA" w14:paraId="57843163" w14:textId="77777777">
        <w:trPr>
          <w:jc w:val="center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0E0E84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4FB2FF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92C0B1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F74142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8F5DAA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0910B0" w14:textId="77777777" w:rsidR="00917DEA" w:rsidRDefault="00153F7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D1DFD1" w14:textId="77777777" w:rsidR="00917DEA" w:rsidRDefault="00153F7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17DEA" w14:paraId="4D1805AF" w14:textId="77777777">
        <w:trPr>
          <w:jc w:val="center"/>
        </w:trPr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67825A" w14:textId="77777777" w:rsidR="00917DEA" w:rsidRDefault="00917DEA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0072EF" w14:textId="77777777" w:rsidR="00917DEA" w:rsidRDefault="00917DEA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463C86" w14:textId="77777777" w:rsidR="00917DEA" w:rsidRDefault="00917DEA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CCAB4" w14:textId="77777777" w:rsidR="00917DEA" w:rsidRDefault="00917DEA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493620" w14:textId="77777777" w:rsidR="00917DEA" w:rsidRDefault="00917DEA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AE688D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EDDDE3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6202F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ED994B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EB381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D92CDC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ADB53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DCCC1B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8EF031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A14D1C" w14:textId="77777777" w:rsidR="00917DEA" w:rsidRDefault="00153F71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33BE6" w14:paraId="5827987B" w14:textId="77777777" w:rsidTr="00DC670A">
        <w:trPr>
          <w:trHeight w:val="77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EF499" w14:textId="5E8CB232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A6C3F" w14:textId="636ACF1E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77E7B" w14:textId="5E1EA45D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7C2D77" w14:textId="53B81CAB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926F1" w14:textId="3C7807BA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7B6EF" w14:textId="53958F86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197F6" w14:textId="17936429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F877E" w14:textId="2EA7B221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DBF6A" w14:textId="52E5972B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5531F" w14:textId="113D294C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2B1CA" w14:textId="4DCF664D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B70F1" w14:textId="62FE7D4D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8B03C" w14:textId="723D48F0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DA9BD" w14:textId="65B03549" w:rsidR="00733BE6" w:rsidRDefault="00733BE6" w:rsidP="00733BE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59D7D" w14:textId="75A2A9AB" w:rsidR="00733BE6" w:rsidRDefault="00733BE6" w:rsidP="00733BE6">
            <w:pPr>
              <w:spacing w:line="60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4D0ABC">
              <w:rPr>
                <w:rFonts w:ascii="宋体" w:hAnsi="宋体" w:cs="宋体" w:hint="eastAsia"/>
                <w:sz w:val="22"/>
              </w:rPr>
              <w:t>0</w:t>
            </w:r>
          </w:p>
        </w:tc>
      </w:tr>
    </w:tbl>
    <w:p w14:paraId="021178E2" w14:textId="77777777" w:rsidR="00917DEA" w:rsidRDefault="00917DEA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color w:val="333333"/>
          <w:sz w:val="24"/>
          <w:szCs w:val="24"/>
        </w:rPr>
      </w:pPr>
    </w:p>
    <w:p w14:paraId="7357338A" w14:textId="77777777" w:rsidR="00917DEA" w:rsidRDefault="00153F7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14:paraId="7361333D" w14:textId="5781FBF5" w:rsidR="00917DEA" w:rsidRDefault="00B403D0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 w:rsidRPr="00B403D0"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202</w:t>
      </w:r>
      <w:r w:rsidR="00153F71">
        <w:rPr>
          <w:rFonts w:ascii="仿宋_GB2312" w:eastAsia="仿宋_GB2312" w:hAnsi="仿宋_GB2312" w:cs="仿宋_GB2312"/>
          <w:bCs/>
          <w:color w:val="333333"/>
          <w:sz w:val="32"/>
          <w:szCs w:val="32"/>
        </w:rPr>
        <w:t>1</w:t>
      </w:r>
      <w:r w:rsidRPr="00B403D0"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年</w:t>
      </w:r>
      <w:r w:rsidR="00153F71"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东湖</w:t>
      </w:r>
      <w:r w:rsidRPr="00B403D0"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区司法局信息公开工作取得了一些进步，但在政策解读多元化、政务公开标准化规范化建设等方面有待进一步加强。下一步，将坚持问题导向，丰富政策解读形式，加强二次解读、跟踪解读，强化政务公开数字赋能，扎实推进政务公开标准化规范化工作。</w:t>
      </w:r>
    </w:p>
    <w:p w14:paraId="72F79089" w14:textId="77777777" w:rsidR="00917DEA" w:rsidRDefault="00153F7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14:paraId="68BB8CFB" w14:textId="2438EADE" w:rsidR="00917DEA" w:rsidRDefault="00F02B1A" w:rsidP="00F02B1A">
      <w:pPr>
        <w:ind w:firstLineChars="200" w:firstLine="640"/>
      </w:pPr>
      <w:r w:rsidRPr="00F02B1A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t>2021年暂未开展信息处理费收取工作。</w:t>
      </w:r>
      <w:r w:rsidRPr="00F02B1A">
        <w:rPr>
          <w:rFonts w:hint="eastAsia"/>
        </w:rPr>
        <w:t xml:space="preserve">          </w:t>
      </w:r>
      <w:bookmarkEnd w:id="0"/>
    </w:p>
    <w:sectPr w:rsidR="00917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90E0C"/>
    <w:multiLevelType w:val="singleLevel"/>
    <w:tmpl w:val="7ED90E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9556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EA"/>
    <w:rsid w:val="00153F71"/>
    <w:rsid w:val="001600DD"/>
    <w:rsid w:val="002112F8"/>
    <w:rsid w:val="004528C9"/>
    <w:rsid w:val="006A0B1D"/>
    <w:rsid w:val="00733BE6"/>
    <w:rsid w:val="00917DEA"/>
    <w:rsid w:val="00B403D0"/>
    <w:rsid w:val="00DF0122"/>
    <w:rsid w:val="00F02B1A"/>
    <w:rsid w:val="307B0568"/>
    <w:rsid w:val="69EC7476"/>
    <w:rsid w:val="708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F2C9E"/>
  <w15:docId w15:val="{92041CDA-AF40-47C0-9BCA-59CC5781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king creation</cp:lastModifiedBy>
  <cp:revision>3</cp:revision>
  <cp:lastPrinted>2021-12-24T04:15:00Z</cp:lastPrinted>
  <dcterms:created xsi:type="dcterms:W3CDTF">2023-02-09T06:12:00Z</dcterms:created>
  <dcterms:modified xsi:type="dcterms:W3CDTF">2023-02-09T06:12:00Z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6F2DC2AF0E304009B84BE38FE550824D</vt:lpwstr>
  </property>
</Properties>
</file>