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b/>
          <w:bCs/>
          <w:sz w:val="36"/>
          <w:szCs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b/>
          <w:bCs/>
          <w:sz w:val="36"/>
          <w:szCs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b/>
          <w:bCs/>
          <w:sz w:val="36"/>
          <w:szCs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简体字" w:hAnsi="方正小标宋简体字" w:eastAsia="方正小标宋简体字" w:cs="方正小标宋简体字"/>
          <w:b/>
          <w:bCs/>
          <w:sz w:val="44"/>
          <w:szCs w:val="44"/>
          <w:lang w:val="en-US" w:eastAsia="zh-CN"/>
        </w:rPr>
      </w:pPr>
      <w:r>
        <w:rPr>
          <w:rFonts w:hint="eastAsia" w:ascii="方正小标宋简体字" w:hAnsi="方正小标宋简体字" w:eastAsia="方正小标宋简体字" w:cs="方正小标宋简体字"/>
          <w:b/>
          <w:bCs/>
          <w:sz w:val="44"/>
          <w:szCs w:val="44"/>
          <w:lang w:val="en-US" w:eastAsia="zh-CN"/>
        </w:rPr>
        <w:t>南昌市东湖区妇女联合会</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简体字" w:hAnsi="方正小标宋简体字" w:eastAsia="方正小标宋简体字" w:cs="方正小标宋简体字"/>
          <w:b/>
          <w:bCs/>
          <w:sz w:val="44"/>
          <w:szCs w:val="44"/>
          <w:lang w:val="en-US" w:eastAsia="zh-CN"/>
        </w:rPr>
      </w:pPr>
      <w:r>
        <w:rPr>
          <w:rFonts w:hint="eastAsia" w:ascii="方正小标宋简体字" w:hAnsi="方正小标宋简体字" w:eastAsia="方正小标宋简体字" w:cs="方正小标宋简体字"/>
          <w:b/>
          <w:bCs/>
          <w:sz w:val="44"/>
          <w:szCs w:val="44"/>
          <w:lang w:val="en-US" w:eastAsia="zh-CN"/>
        </w:rPr>
        <w:t>2021年度部门整体支出绩效财政评价报告</w:t>
      </w:r>
    </w:p>
    <w:p>
      <w:pPr>
        <w:pStyle w:val="6"/>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sz w:val="36"/>
          <w:szCs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sz w:val="36"/>
          <w:szCs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sz w:val="36"/>
          <w:szCs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sz w:val="36"/>
          <w:szCs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sz w:val="36"/>
          <w:szCs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sz w:val="36"/>
          <w:szCs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sz w:val="36"/>
          <w:szCs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sz w:val="36"/>
          <w:szCs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sz w:val="36"/>
          <w:szCs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sz w:val="36"/>
          <w:szCs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sz w:val="36"/>
          <w:szCs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sz w:val="36"/>
          <w:szCs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sz w:val="36"/>
          <w:szCs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简体字" w:hAnsi="方正小标宋简体字" w:eastAsia="方正小标宋简体字" w:cs="方正小标宋简体字"/>
          <w:b/>
          <w:bCs/>
          <w:sz w:val="40"/>
          <w:szCs w:val="40"/>
          <w:lang w:val="en-US" w:eastAsia="zh-CN"/>
        </w:rPr>
      </w:pPr>
      <w:r>
        <w:rPr>
          <w:rFonts w:hint="eastAsia" w:ascii="方正小标宋简体字" w:hAnsi="方正小标宋简体字" w:eastAsia="方正小标宋简体字" w:cs="方正小标宋简体字"/>
          <w:b/>
          <w:bCs/>
          <w:sz w:val="40"/>
          <w:szCs w:val="40"/>
          <w:lang w:val="en-US" w:eastAsia="zh-CN"/>
        </w:rPr>
        <w:t>江西信达管理咨询有限公司</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简体字" w:hAnsi="方正小标宋简体字" w:eastAsia="方正小标宋简体字" w:cs="方正小标宋简体字"/>
          <w:b/>
          <w:bCs/>
          <w:sz w:val="40"/>
          <w:szCs w:val="40"/>
          <w:lang w:val="en-US" w:eastAsia="zh-CN"/>
        </w:rPr>
        <w:sectPr>
          <w:headerReference r:id="rId4" w:type="first"/>
          <w:footerReference r:id="rId5" w:type="first"/>
          <w:headerReference r:id="rId3" w:type="default"/>
          <w:pgSz w:w="11906" w:h="16838"/>
          <w:pgMar w:top="2098" w:right="1474" w:bottom="1871" w:left="1587" w:header="851" w:footer="992" w:gutter="0"/>
          <w:pgNumType w:fmt="decimal"/>
          <w:cols w:space="425" w:num="1"/>
          <w:docGrid w:type="lines" w:linePitch="312" w:charSpace="0"/>
        </w:sectPr>
      </w:pPr>
      <w:r>
        <w:rPr>
          <w:rFonts w:hint="eastAsia" w:ascii="方正小标宋简体字" w:hAnsi="方正小标宋简体字" w:eastAsia="方正小标宋简体字" w:cs="方正小标宋简体字"/>
          <w:b/>
          <w:bCs/>
          <w:sz w:val="40"/>
          <w:szCs w:val="40"/>
          <w:lang w:val="en-US" w:eastAsia="zh-CN"/>
        </w:rPr>
        <w:t>2022年11月7日</w:t>
      </w:r>
    </w:p>
    <w:sdt>
      <w:sdtPr>
        <w:rPr>
          <w:rFonts w:ascii="宋体" w:hAnsi="宋体" w:eastAsia="宋体" w:cstheme="minorBidi"/>
          <w:kern w:val="2"/>
          <w:sz w:val="21"/>
          <w:szCs w:val="24"/>
          <w:lang w:val="en-US" w:eastAsia="zh-CN" w:bidi="ar-SA"/>
        </w:rPr>
        <w:id w:val="147472858"/>
        <w15:color w:val="DBDBDB"/>
      </w:sdtPr>
      <w:sdtEndPr>
        <w:rPr>
          <w:rFonts w:ascii="宋体" w:hAnsi="宋体" w:eastAsia="宋体" w:cstheme="minorBidi"/>
          <w:b/>
          <w:kern w:val="2"/>
          <w:sz w:val="21"/>
          <w:szCs w:val="24"/>
          <w:lang w:val="en-US" w:eastAsia="zh-CN" w:bidi="ar-SA"/>
        </w:rPr>
      </w:sdtEndPr>
      <w:sdtContent>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录</w:t>
          </w:r>
        </w:p>
        <w:p>
          <w:pPr>
            <w:pStyle w:val="11"/>
            <w:tabs>
              <w:tab w:val="right" w:leader="dot" w:pos="8306"/>
            </w:tabs>
            <w:ind w:left="0" w:leftChars="0" w:firstLine="0" w:firstLineChars="0"/>
            <w:rPr>
              <w:rFonts w:hint="eastAsia" w:ascii="Times New Roman" w:hAnsi="Times New Roman" w:eastAsia="仿宋_GB2312" w:cs="Times New Roman"/>
              <w:kern w:val="2"/>
              <w:sz w:val="32"/>
              <w:szCs w:val="24"/>
              <w:lang w:val="en-US" w:eastAsia="zh-CN" w:bidi="ar-SA"/>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TOC \o "1-2" \h \u </w:instrText>
          </w:r>
          <w:r>
            <w:rPr>
              <w:rFonts w:hint="eastAsia" w:ascii="宋体" w:hAnsi="宋体" w:eastAsia="宋体" w:cs="宋体"/>
              <w:sz w:val="28"/>
              <w:szCs w:val="28"/>
            </w:rPr>
            <w:fldChar w:fldCharType="separate"/>
          </w:r>
          <w:r>
            <w:rPr>
              <w:rFonts w:hint="eastAsia" w:ascii="Times New Roman" w:hAnsi="Times New Roman" w:eastAsia="仿宋_GB2312" w:cs="Times New Roman"/>
              <w:kern w:val="2"/>
              <w:sz w:val="32"/>
              <w:szCs w:val="24"/>
              <w:lang w:val="en-US" w:eastAsia="zh-CN" w:bidi="ar-SA"/>
            </w:rPr>
            <w:fldChar w:fldCharType="begin"/>
          </w:r>
          <w:r>
            <w:rPr>
              <w:rFonts w:hint="eastAsia" w:ascii="Times New Roman" w:hAnsi="Times New Roman" w:eastAsia="仿宋_GB2312" w:cs="Times New Roman"/>
              <w:kern w:val="2"/>
              <w:sz w:val="32"/>
              <w:szCs w:val="24"/>
              <w:lang w:val="en-US" w:eastAsia="zh-CN" w:bidi="ar-SA"/>
            </w:rPr>
            <w:instrText xml:space="preserve"> HYPERLINK \l _Toc21160 </w:instrText>
          </w:r>
          <w:r>
            <w:rPr>
              <w:rFonts w:hint="eastAsia" w:ascii="Times New Roman" w:hAnsi="Times New Roman" w:eastAsia="仿宋_GB2312" w:cs="Times New Roman"/>
              <w:kern w:val="2"/>
              <w:sz w:val="32"/>
              <w:szCs w:val="24"/>
              <w:lang w:val="en-US" w:eastAsia="zh-CN" w:bidi="ar-SA"/>
            </w:rPr>
            <w:fldChar w:fldCharType="separate"/>
          </w:r>
          <w:r>
            <w:rPr>
              <w:rFonts w:hint="eastAsia" w:ascii="Times New Roman" w:hAnsi="Times New Roman" w:eastAsia="仿宋_GB2312" w:cs="Times New Roman"/>
              <w:kern w:val="2"/>
              <w:sz w:val="32"/>
              <w:szCs w:val="24"/>
              <w:lang w:val="en-US" w:eastAsia="zh-CN" w:bidi="ar-SA"/>
            </w:rPr>
            <w:t>一、部门（单位）概况</w:t>
          </w:r>
          <w:r>
            <w:rPr>
              <w:rFonts w:hint="eastAsia" w:ascii="Times New Roman" w:hAnsi="Times New Roman" w:eastAsia="仿宋_GB2312" w:cs="Times New Roman"/>
              <w:kern w:val="2"/>
              <w:sz w:val="32"/>
              <w:szCs w:val="24"/>
              <w:lang w:val="en-US" w:eastAsia="zh-CN" w:bidi="ar-SA"/>
            </w:rPr>
            <w:tab/>
          </w:r>
          <w:r>
            <w:rPr>
              <w:rFonts w:hint="eastAsia" w:ascii="Times New Roman" w:hAnsi="Times New Roman" w:eastAsia="仿宋_GB2312" w:cs="Times New Roman"/>
              <w:kern w:val="2"/>
              <w:sz w:val="32"/>
              <w:szCs w:val="24"/>
              <w:lang w:val="en-US" w:eastAsia="zh-CN" w:bidi="ar-SA"/>
            </w:rPr>
            <w:fldChar w:fldCharType="begin"/>
          </w:r>
          <w:r>
            <w:rPr>
              <w:rFonts w:hint="eastAsia" w:ascii="Times New Roman" w:hAnsi="Times New Roman" w:eastAsia="仿宋_GB2312" w:cs="Times New Roman"/>
              <w:kern w:val="2"/>
              <w:sz w:val="32"/>
              <w:szCs w:val="24"/>
              <w:lang w:val="en-US" w:eastAsia="zh-CN" w:bidi="ar-SA"/>
            </w:rPr>
            <w:instrText xml:space="preserve"> PAGEREF _Toc21160 \h </w:instrText>
          </w:r>
          <w:r>
            <w:rPr>
              <w:rFonts w:hint="eastAsia" w:ascii="Times New Roman" w:hAnsi="Times New Roman" w:eastAsia="仿宋_GB2312" w:cs="Times New Roman"/>
              <w:kern w:val="2"/>
              <w:sz w:val="32"/>
              <w:szCs w:val="24"/>
              <w:lang w:val="en-US" w:eastAsia="zh-CN" w:bidi="ar-SA"/>
            </w:rPr>
            <w:fldChar w:fldCharType="separate"/>
          </w:r>
          <w:r>
            <w:rPr>
              <w:rFonts w:hint="eastAsia" w:ascii="Times New Roman" w:hAnsi="Times New Roman" w:eastAsia="仿宋_GB2312" w:cs="Times New Roman"/>
              <w:kern w:val="2"/>
              <w:sz w:val="32"/>
              <w:szCs w:val="24"/>
              <w:lang w:val="en-US" w:eastAsia="zh-CN" w:bidi="ar-SA"/>
            </w:rPr>
            <w:t>1</w:t>
          </w:r>
          <w:r>
            <w:rPr>
              <w:rFonts w:hint="eastAsia" w:ascii="Times New Roman" w:hAnsi="Times New Roman" w:eastAsia="仿宋_GB2312" w:cs="Times New Roman"/>
              <w:kern w:val="2"/>
              <w:sz w:val="32"/>
              <w:szCs w:val="24"/>
              <w:lang w:val="en-US" w:eastAsia="zh-CN" w:bidi="ar-SA"/>
            </w:rPr>
            <w:fldChar w:fldCharType="end"/>
          </w:r>
          <w:r>
            <w:rPr>
              <w:rFonts w:hint="eastAsia" w:ascii="Times New Roman" w:hAnsi="Times New Roman" w:eastAsia="仿宋_GB2312" w:cs="Times New Roman"/>
              <w:kern w:val="2"/>
              <w:sz w:val="32"/>
              <w:szCs w:val="24"/>
              <w:lang w:val="en-US" w:eastAsia="zh-CN" w:bidi="ar-SA"/>
            </w:rPr>
            <w:fldChar w:fldCharType="end"/>
          </w:r>
        </w:p>
        <w:p>
          <w:pPr>
            <w:pStyle w:val="11"/>
            <w:tabs>
              <w:tab w:val="right" w:leader="dot" w:pos="8306"/>
            </w:tabs>
            <w:ind w:left="0" w:leftChars="0" w:firstLine="0" w:firstLineChars="0"/>
            <w:rPr>
              <w:rFonts w:hint="eastAsia"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fldChar w:fldCharType="begin"/>
          </w:r>
          <w:r>
            <w:rPr>
              <w:rFonts w:hint="eastAsia" w:ascii="Times New Roman" w:hAnsi="Times New Roman" w:eastAsia="仿宋_GB2312" w:cs="Times New Roman"/>
              <w:kern w:val="2"/>
              <w:sz w:val="32"/>
              <w:szCs w:val="24"/>
              <w:lang w:val="en-US" w:eastAsia="zh-CN" w:bidi="ar-SA"/>
            </w:rPr>
            <w:instrText xml:space="preserve"> HYPERLINK \l _Toc17882 </w:instrText>
          </w:r>
          <w:r>
            <w:rPr>
              <w:rFonts w:hint="eastAsia" w:ascii="Times New Roman" w:hAnsi="Times New Roman" w:eastAsia="仿宋_GB2312" w:cs="Times New Roman"/>
              <w:kern w:val="2"/>
              <w:sz w:val="32"/>
              <w:szCs w:val="24"/>
              <w:lang w:val="en-US" w:eastAsia="zh-CN" w:bidi="ar-SA"/>
            </w:rPr>
            <w:fldChar w:fldCharType="separate"/>
          </w:r>
          <w:r>
            <w:rPr>
              <w:rFonts w:hint="eastAsia" w:ascii="Times New Roman" w:hAnsi="Times New Roman" w:eastAsia="仿宋_GB2312" w:cs="Times New Roman"/>
              <w:kern w:val="2"/>
              <w:sz w:val="32"/>
              <w:szCs w:val="24"/>
              <w:lang w:val="en-US" w:eastAsia="zh-CN" w:bidi="ar-SA"/>
            </w:rPr>
            <w:t>（一）部门（单位）主要职责职能，组织架构、人员及资产</w:t>
          </w:r>
          <w:r>
            <w:rPr>
              <w:rFonts w:hint="eastAsia" w:ascii="Times New Roman" w:hAnsi="Times New Roman" w:eastAsia="仿宋_GB2312" w:cs="Times New Roman"/>
              <w:kern w:val="2"/>
              <w:sz w:val="32"/>
              <w:szCs w:val="24"/>
              <w:lang w:val="en-US" w:eastAsia="zh-CN" w:bidi="ar-SA"/>
            </w:rPr>
            <w:tab/>
          </w:r>
          <w:r>
            <w:rPr>
              <w:rFonts w:hint="eastAsia" w:ascii="Times New Roman" w:hAnsi="Times New Roman" w:eastAsia="仿宋_GB2312" w:cs="Times New Roman"/>
              <w:kern w:val="2"/>
              <w:sz w:val="32"/>
              <w:szCs w:val="24"/>
              <w:lang w:val="en-US" w:eastAsia="zh-CN" w:bidi="ar-SA"/>
            </w:rPr>
            <w:fldChar w:fldCharType="begin"/>
          </w:r>
          <w:r>
            <w:rPr>
              <w:rFonts w:hint="eastAsia" w:ascii="Times New Roman" w:hAnsi="Times New Roman" w:eastAsia="仿宋_GB2312" w:cs="Times New Roman"/>
              <w:kern w:val="2"/>
              <w:sz w:val="32"/>
              <w:szCs w:val="24"/>
              <w:lang w:val="en-US" w:eastAsia="zh-CN" w:bidi="ar-SA"/>
            </w:rPr>
            <w:instrText xml:space="preserve"> PAGEREF _Toc17882 \h </w:instrText>
          </w:r>
          <w:r>
            <w:rPr>
              <w:rFonts w:hint="eastAsia" w:ascii="Times New Roman" w:hAnsi="Times New Roman" w:eastAsia="仿宋_GB2312" w:cs="Times New Roman"/>
              <w:kern w:val="2"/>
              <w:sz w:val="32"/>
              <w:szCs w:val="24"/>
              <w:lang w:val="en-US" w:eastAsia="zh-CN" w:bidi="ar-SA"/>
            </w:rPr>
            <w:fldChar w:fldCharType="separate"/>
          </w:r>
          <w:r>
            <w:rPr>
              <w:rFonts w:hint="eastAsia" w:ascii="Times New Roman" w:hAnsi="Times New Roman" w:eastAsia="仿宋_GB2312" w:cs="Times New Roman"/>
              <w:kern w:val="2"/>
              <w:sz w:val="32"/>
              <w:szCs w:val="24"/>
              <w:lang w:val="en-US" w:eastAsia="zh-CN" w:bidi="ar-SA"/>
            </w:rPr>
            <w:t>1</w:t>
          </w:r>
          <w:r>
            <w:rPr>
              <w:rFonts w:hint="eastAsia" w:ascii="Times New Roman" w:hAnsi="Times New Roman" w:eastAsia="仿宋_GB2312" w:cs="Times New Roman"/>
              <w:kern w:val="2"/>
              <w:sz w:val="32"/>
              <w:szCs w:val="24"/>
              <w:lang w:val="en-US" w:eastAsia="zh-CN" w:bidi="ar-SA"/>
            </w:rPr>
            <w:fldChar w:fldCharType="end"/>
          </w:r>
          <w:r>
            <w:rPr>
              <w:rFonts w:hint="eastAsia" w:ascii="Times New Roman" w:hAnsi="Times New Roman" w:eastAsia="仿宋_GB2312" w:cs="Times New Roman"/>
              <w:kern w:val="2"/>
              <w:sz w:val="32"/>
              <w:szCs w:val="24"/>
              <w:lang w:val="en-US" w:eastAsia="zh-CN" w:bidi="ar-SA"/>
            </w:rPr>
            <w:fldChar w:fldCharType="end"/>
          </w:r>
        </w:p>
        <w:p>
          <w:pPr>
            <w:pStyle w:val="11"/>
            <w:tabs>
              <w:tab w:val="right" w:leader="dot" w:pos="8306"/>
            </w:tabs>
            <w:ind w:left="0" w:leftChars="0" w:firstLine="0" w:firstLineChars="0"/>
            <w:rPr>
              <w:rFonts w:hint="eastAsia"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fldChar w:fldCharType="begin"/>
          </w:r>
          <w:r>
            <w:rPr>
              <w:rFonts w:hint="eastAsia" w:ascii="Times New Roman" w:hAnsi="Times New Roman" w:eastAsia="仿宋_GB2312" w:cs="Times New Roman"/>
              <w:kern w:val="2"/>
              <w:sz w:val="32"/>
              <w:szCs w:val="24"/>
              <w:lang w:val="en-US" w:eastAsia="zh-CN" w:bidi="ar-SA"/>
            </w:rPr>
            <w:instrText xml:space="preserve"> HYPERLINK \l _Toc16744 </w:instrText>
          </w:r>
          <w:r>
            <w:rPr>
              <w:rFonts w:hint="eastAsia" w:ascii="Times New Roman" w:hAnsi="Times New Roman" w:eastAsia="仿宋_GB2312" w:cs="Times New Roman"/>
              <w:kern w:val="2"/>
              <w:sz w:val="32"/>
              <w:szCs w:val="24"/>
              <w:lang w:val="en-US" w:eastAsia="zh-CN" w:bidi="ar-SA"/>
            </w:rPr>
            <w:fldChar w:fldCharType="separate"/>
          </w:r>
          <w:r>
            <w:rPr>
              <w:rFonts w:hint="eastAsia" w:ascii="Times New Roman" w:hAnsi="Times New Roman" w:eastAsia="仿宋_GB2312" w:cs="Times New Roman"/>
              <w:kern w:val="2"/>
              <w:sz w:val="32"/>
              <w:szCs w:val="24"/>
              <w:lang w:val="en-US" w:eastAsia="zh-CN" w:bidi="ar-SA"/>
            </w:rPr>
            <w:t>等基本情况</w:t>
          </w:r>
          <w:r>
            <w:rPr>
              <w:rFonts w:hint="eastAsia" w:ascii="Times New Roman" w:hAnsi="Times New Roman" w:eastAsia="仿宋_GB2312" w:cs="Times New Roman"/>
              <w:kern w:val="2"/>
              <w:sz w:val="32"/>
              <w:szCs w:val="24"/>
              <w:lang w:val="en-US" w:eastAsia="zh-CN" w:bidi="ar-SA"/>
            </w:rPr>
            <w:tab/>
          </w:r>
          <w:r>
            <w:rPr>
              <w:rFonts w:hint="eastAsia" w:ascii="Times New Roman" w:hAnsi="Times New Roman" w:eastAsia="仿宋_GB2312" w:cs="Times New Roman"/>
              <w:kern w:val="2"/>
              <w:sz w:val="32"/>
              <w:szCs w:val="24"/>
              <w:lang w:val="en-US" w:eastAsia="zh-CN" w:bidi="ar-SA"/>
            </w:rPr>
            <w:fldChar w:fldCharType="begin"/>
          </w:r>
          <w:r>
            <w:rPr>
              <w:rFonts w:hint="eastAsia" w:ascii="Times New Roman" w:hAnsi="Times New Roman" w:eastAsia="仿宋_GB2312" w:cs="Times New Roman"/>
              <w:kern w:val="2"/>
              <w:sz w:val="32"/>
              <w:szCs w:val="24"/>
              <w:lang w:val="en-US" w:eastAsia="zh-CN" w:bidi="ar-SA"/>
            </w:rPr>
            <w:instrText xml:space="preserve"> PAGEREF _Toc16744 \h </w:instrText>
          </w:r>
          <w:r>
            <w:rPr>
              <w:rFonts w:hint="eastAsia" w:ascii="Times New Roman" w:hAnsi="Times New Roman" w:eastAsia="仿宋_GB2312" w:cs="Times New Roman"/>
              <w:kern w:val="2"/>
              <w:sz w:val="32"/>
              <w:szCs w:val="24"/>
              <w:lang w:val="en-US" w:eastAsia="zh-CN" w:bidi="ar-SA"/>
            </w:rPr>
            <w:fldChar w:fldCharType="separate"/>
          </w:r>
          <w:r>
            <w:rPr>
              <w:rFonts w:hint="eastAsia" w:ascii="Times New Roman" w:hAnsi="Times New Roman" w:eastAsia="仿宋_GB2312" w:cs="Times New Roman"/>
              <w:kern w:val="2"/>
              <w:sz w:val="32"/>
              <w:szCs w:val="24"/>
              <w:lang w:val="en-US" w:eastAsia="zh-CN" w:bidi="ar-SA"/>
            </w:rPr>
            <w:t>1</w:t>
          </w:r>
          <w:r>
            <w:rPr>
              <w:rFonts w:hint="eastAsia" w:ascii="Times New Roman" w:hAnsi="Times New Roman" w:eastAsia="仿宋_GB2312" w:cs="Times New Roman"/>
              <w:kern w:val="2"/>
              <w:sz w:val="32"/>
              <w:szCs w:val="24"/>
              <w:lang w:val="en-US" w:eastAsia="zh-CN" w:bidi="ar-SA"/>
            </w:rPr>
            <w:fldChar w:fldCharType="end"/>
          </w:r>
          <w:r>
            <w:rPr>
              <w:rFonts w:hint="eastAsia" w:ascii="Times New Roman" w:hAnsi="Times New Roman" w:eastAsia="仿宋_GB2312" w:cs="Times New Roman"/>
              <w:kern w:val="2"/>
              <w:sz w:val="32"/>
              <w:szCs w:val="24"/>
              <w:lang w:val="en-US" w:eastAsia="zh-CN" w:bidi="ar-SA"/>
            </w:rPr>
            <w:fldChar w:fldCharType="end"/>
          </w:r>
        </w:p>
        <w:p>
          <w:pPr>
            <w:pStyle w:val="11"/>
            <w:tabs>
              <w:tab w:val="right" w:leader="dot" w:pos="8306"/>
            </w:tabs>
            <w:ind w:left="0" w:leftChars="0" w:firstLine="0" w:firstLineChars="0"/>
            <w:rPr>
              <w:rFonts w:hint="eastAsia"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fldChar w:fldCharType="begin"/>
          </w:r>
          <w:r>
            <w:rPr>
              <w:rFonts w:hint="eastAsia" w:ascii="Times New Roman" w:hAnsi="Times New Roman" w:eastAsia="仿宋_GB2312" w:cs="Times New Roman"/>
              <w:kern w:val="2"/>
              <w:sz w:val="32"/>
              <w:szCs w:val="24"/>
              <w:lang w:val="en-US" w:eastAsia="zh-CN" w:bidi="ar-SA"/>
            </w:rPr>
            <w:instrText xml:space="preserve"> HYPERLINK \l _Toc1021 </w:instrText>
          </w:r>
          <w:r>
            <w:rPr>
              <w:rFonts w:hint="eastAsia" w:ascii="Times New Roman" w:hAnsi="Times New Roman" w:eastAsia="仿宋_GB2312" w:cs="Times New Roman"/>
              <w:kern w:val="2"/>
              <w:sz w:val="32"/>
              <w:szCs w:val="24"/>
              <w:lang w:val="en-US" w:eastAsia="zh-CN" w:bidi="ar-SA"/>
            </w:rPr>
            <w:fldChar w:fldCharType="separate"/>
          </w:r>
          <w:r>
            <w:rPr>
              <w:rFonts w:hint="eastAsia" w:ascii="Times New Roman" w:hAnsi="Times New Roman" w:eastAsia="仿宋_GB2312" w:cs="Times New Roman"/>
              <w:kern w:val="2"/>
              <w:sz w:val="32"/>
              <w:szCs w:val="24"/>
              <w:lang w:val="en-US" w:eastAsia="zh-CN" w:bidi="ar-SA"/>
            </w:rPr>
            <w:t>（二）当年部门（单位）履职总体目标、工作任务</w:t>
          </w:r>
          <w:r>
            <w:rPr>
              <w:rFonts w:hint="eastAsia" w:ascii="Times New Roman" w:hAnsi="Times New Roman" w:eastAsia="仿宋_GB2312" w:cs="Times New Roman"/>
              <w:kern w:val="2"/>
              <w:sz w:val="32"/>
              <w:szCs w:val="24"/>
              <w:lang w:val="en-US" w:eastAsia="zh-CN" w:bidi="ar-SA"/>
            </w:rPr>
            <w:tab/>
          </w:r>
          <w:r>
            <w:rPr>
              <w:rFonts w:hint="eastAsia" w:ascii="Times New Roman" w:hAnsi="Times New Roman" w:eastAsia="仿宋_GB2312" w:cs="Times New Roman"/>
              <w:kern w:val="2"/>
              <w:sz w:val="32"/>
              <w:szCs w:val="24"/>
              <w:lang w:val="en-US" w:eastAsia="zh-CN" w:bidi="ar-SA"/>
            </w:rPr>
            <w:fldChar w:fldCharType="begin"/>
          </w:r>
          <w:r>
            <w:rPr>
              <w:rFonts w:hint="eastAsia" w:ascii="Times New Roman" w:hAnsi="Times New Roman" w:eastAsia="仿宋_GB2312" w:cs="Times New Roman"/>
              <w:kern w:val="2"/>
              <w:sz w:val="32"/>
              <w:szCs w:val="24"/>
              <w:lang w:val="en-US" w:eastAsia="zh-CN" w:bidi="ar-SA"/>
            </w:rPr>
            <w:instrText xml:space="preserve"> PAGEREF _Toc1021 \h </w:instrText>
          </w:r>
          <w:r>
            <w:rPr>
              <w:rFonts w:hint="eastAsia" w:ascii="Times New Roman" w:hAnsi="Times New Roman" w:eastAsia="仿宋_GB2312" w:cs="Times New Roman"/>
              <w:kern w:val="2"/>
              <w:sz w:val="32"/>
              <w:szCs w:val="24"/>
              <w:lang w:val="en-US" w:eastAsia="zh-CN" w:bidi="ar-SA"/>
            </w:rPr>
            <w:fldChar w:fldCharType="separate"/>
          </w:r>
          <w:r>
            <w:rPr>
              <w:rFonts w:hint="eastAsia" w:ascii="Times New Roman" w:hAnsi="Times New Roman" w:eastAsia="仿宋_GB2312" w:cs="Times New Roman"/>
              <w:kern w:val="2"/>
              <w:sz w:val="32"/>
              <w:szCs w:val="24"/>
              <w:lang w:val="en-US" w:eastAsia="zh-CN" w:bidi="ar-SA"/>
            </w:rPr>
            <w:t>4</w:t>
          </w:r>
          <w:r>
            <w:rPr>
              <w:rFonts w:hint="eastAsia" w:ascii="Times New Roman" w:hAnsi="Times New Roman" w:eastAsia="仿宋_GB2312" w:cs="Times New Roman"/>
              <w:kern w:val="2"/>
              <w:sz w:val="32"/>
              <w:szCs w:val="24"/>
              <w:lang w:val="en-US" w:eastAsia="zh-CN" w:bidi="ar-SA"/>
            </w:rPr>
            <w:fldChar w:fldCharType="end"/>
          </w:r>
          <w:r>
            <w:rPr>
              <w:rFonts w:hint="eastAsia" w:ascii="Times New Roman" w:hAnsi="Times New Roman" w:eastAsia="仿宋_GB2312" w:cs="Times New Roman"/>
              <w:kern w:val="2"/>
              <w:sz w:val="32"/>
              <w:szCs w:val="24"/>
              <w:lang w:val="en-US" w:eastAsia="zh-CN" w:bidi="ar-SA"/>
            </w:rPr>
            <w:fldChar w:fldCharType="end"/>
          </w:r>
        </w:p>
        <w:p>
          <w:pPr>
            <w:pStyle w:val="11"/>
            <w:tabs>
              <w:tab w:val="right" w:leader="dot" w:pos="8306"/>
            </w:tabs>
            <w:ind w:left="0" w:leftChars="0" w:firstLine="0" w:firstLineChars="0"/>
            <w:rPr>
              <w:rFonts w:hint="eastAsia"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fldChar w:fldCharType="begin"/>
          </w:r>
          <w:r>
            <w:rPr>
              <w:rFonts w:hint="eastAsia" w:ascii="Times New Roman" w:hAnsi="Times New Roman" w:eastAsia="仿宋_GB2312" w:cs="Times New Roman"/>
              <w:kern w:val="2"/>
              <w:sz w:val="32"/>
              <w:szCs w:val="24"/>
              <w:lang w:val="en-US" w:eastAsia="zh-CN" w:bidi="ar-SA"/>
            </w:rPr>
            <w:instrText xml:space="preserve"> HYPERLINK \l _Toc15984 </w:instrText>
          </w:r>
          <w:r>
            <w:rPr>
              <w:rFonts w:hint="eastAsia" w:ascii="Times New Roman" w:hAnsi="Times New Roman" w:eastAsia="仿宋_GB2312" w:cs="Times New Roman"/>
              <w:kern w:val="2"/>
              <w:sz w:val="32"/>
              <w:szCs w:val="24"/>
              <w:lang w:val="en-US" w:eastAsia="zh-CN" w:bidi="ar-SA"/>
            </w:rPr>
            <w:fldChar w:fldCharType="separate"/>
          </w:r>
          <w:r>
            <w:rPr>
              <w:rFonts w:hint="eastAsia" w:ascii="Times New Roman" w:hAnsi="Times New Roman" w:eastAsia="仿宋_GB2312" w:cs="Times New Roman"/>
              <w:kern w:val="2"/>
              <w:sz w:val="32"/>
              <w:szCs w:val="24"/>
              <w:lang w:val="en-US" w:eastAsia="zh-CN" w:bidi="ar-SA"/>
            </w:rPr>
            <w:t>（三）当年部门（单位）年度整体支出绩效目标</w:t>
          </w:r>
          <w:r>
            <w:rPr>
              <w:rFonts w:hint="eastAsia" w:ascii="Times New Roman" w:hAnsi="Times New Roman" w:eastAsia="仿宋_GB2312" w:cs="Times New Roman"/>
              <w:kern w:val="2"/>
              <w:sz w:val="32"/>
              <w:szCs w:val="24"/>
              <w:lang w:val="en-US" w:eastAsia="zh-CN" w:bidi="ar-SA"/>
            </w:rPr>
            <w:tab/>
          </w:r>
          <w:r>
            <w:rPr>
              <w:rFonts w:hint="eastAsia" w:ascii="Times New Roman" w:hAnsi="Times New Roman" w:eastAsia="仿宋_GB2312" w:cs="Times New Roman"/>
              <w:kern w:val="2"/>
              <w:sz w:val="32"/>
              <w:szCs w:val="24"/>
              <w:lang w:val="en-US" w:eastAsia="zh-CN" w:bidi="ar-SA"/>
            </w:rPr>
            <w:fldChar w:fldCharType="begin"/>
          </w:r>
          <w:r>
            <w:rPr>
              <w:rFonts w:hint="eastAsia" w:ascii="Times New Roman" w:hAnsi="Times New Roman" w:eastAsia="仿宋_GB2312" w:cs="Times New Roman"/>
              <w:kern w:val="2"/>
              <w:sz w:val="32"/>
              <w:szCs w:val="24"/>
              <w:lang w:val="en-US" w:eastAsia="zh-CN" w:bidi="ar-SA"/>
            </w:rPr>
            <w:instrText xml:space="preserve"> PAGEREF _Toc15984 \h </w:instrText>
          </w:r>
          <w:r>
            <w:rPr>
              <w:rFonts w:hint="eastAsia" w:ascii="Times New Roman" w:hAnsi="Times New Roman" w:eastAsia="仿宋_GB2312" w:cs="Times New Roman"/>
              <w:kern w:val="2"/>
              <w:sz w:val="32"/>
              <w:szCs w:val="24"/>
              <w:lang w:val="en-US" w:eastAsia="zh-CN" w:bidi="ar-SA"/>
            </w:rPr>
            <w:fldChar w:fldCharType="separate"/>
          </w:r>
          <w:r>
            <w:rPr>
              <w:rFonts w:hint="eastAsia" w:ascii="Times New Roman" w:hAnsi="Times New Roman" w:eastAsia="仿宋_GB2312" w:cs="Times New Roman"/>
              <w:kern w:val="2"/>
              <w:sz w:val="32"/>
              <w:szCs w:val="24"/>
              <w:lang w:val="en-US" w:eastAsia="zh-CN" w:bidi="ar-SA"/>
            </w:rPr>
            <w:t>5</w:t>
          </w:r>
          <w:r>
            <w:rPr>
              <w:rFonts w:hint="eastAsia" w:ascii="Times New Roman" w:hAnsi="Times New Roman" w:eastAsia="仿宋_GB2312" w:cs="Times New Roman"/>
              <w:kern w:val="2"/>
              <w:sz w:val="32"/>
              <w:szCs w:val="24"/>
              <w:lang w:val="en-US" w:eastAsia="zh-CN" w:bidi="ar-SA"/>
            </w:rPr>
            <w:fldChar w:fldCharType="end"/>
          </w:r>
          <w:r>
            <w:rPr>
              <w:rFonts w:hint="eastAsia" w:ascii="Times New Roman" w:hAnsi="Times New Roman" w:eastAsia="仿宋_GB2312" w:cs="Times New Roman"/>
              <w:kern w:val="2"/>
              <w:sz w:val="32"/>
              <w:szCs w:val="24"/>
              <w:lang w:val="en-US" w:eastAsia="zh-CN" w:bidi="ar-SA"/>
            </w:rPr>
            <w:fldChar w:fldCharType="end"/>
          </w:r>
        </w:p>
        <w:p>
          <w:pPr>
            <w:pStyle w:val="11"/>
            <w:tabs>
              <w:tab w:val="right" w:leader="dot" w:pos="8306"/>
            </w:tabs>
            <w:ind w:left="0" w:leftChars="0" w:firstLine="0" w:firstLineChars="0"/>
            <w:rPr>
              <w:rFonts w:hint="eastAsia"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fldChar w:fldCharType="begin"/>
          </w:r>
          <w:r>
            <w:rPr>
              <w:rFonts w:hint="eastAsia" w:ascii="Times New Roman" w:hAnsi="Times New Roman" w:eastAsia="仿宋_GB2312" w:cs="Times New Roman"/>
              <w:kern w:val="2"/>
              <w:sz w:val="32"/>
              <w:szCs w:val="24"/>
              <w:lang w:val="en-US" w:eastAsia="zh-CN" w:bidi="ar-SA"/>
            </w:rPr>
            <w:instrText xml:space="preserve"> HYPERLINK \l _Toc25267 </w:instrText>
          </w:r>
          <w:r>
            <w:rPr>
              <w:rFonts w:hint="eastAsia" w:ascii="Times New Roman" w:hAnsi="Times New Roman" w:eastAsia="仿宋_GB2312" w:cs="Times New Roman"/>
              <w:kern w:val="2"/>
              <w:sz w:val="32"/>
              <w:szCs w:val="24"/>
              <w:lang w:val="en-US" w:eastAsia="zh-CN" w:bidi="ar-SA"/>
            </w:rPr>
            <w:fldChar w:fldCharType="separate"/>
          </w:r>
          <w:r>
            <w:rPr>
              <w:rFonts w:hint="eastAsia" w:ascii="Times New Roman" w:hAnsi="Times New Roman" w:eastAsia="仿宋_GB2312" w:cs="Times New Roman"/>
              <w:kern w:val="2"/>
              <w:sz w:val="32"/>
              <w:szCs w:val="24"/>
              <w:lang w:val="en-US" w:eastAsia="zh-CN" w:bidi="ar-SA"/>
            </w:rPr>
            <w:t>（四）部门（单位）预算绩效管理开展情况</w:t>
          </w:r>
          <w:r>
            <w:rPr>
              <w:rFonts w:hint="eastAsia" w:ascii="Times New Roman" w:hAnsi="Times New Roman" w:eastAsia="仿宋_GB2312" w:cs="Times New Roman"/>
              <w:kern w:val="2"/>
              <w:sz w:val="32"/>
              <w:szCs w:val="24"/>
              <w:lang w:val="en-US" w:eastAsia="zh-CN" w:bidi="ar-SA"/>
            </w:rPr>
            <w:tab/>
          </w:r>
          <w:r>
            <w:rPr>
              <w:rFonts w:hint="eastAsia" w:ascii="Times New Roman" w:hAnsi="Times New Roman" w:eastAsia="仿宋_GB2312" w:cs="Times New Roman"/>
              <w:kern w:val="2"/>
              <w:sz w:val="32"/>
              <w:szCs w:val="24"/>
              <w:lang w:val="en-US" w:eastAsia="zh-CN" w:bidi="ar-SA"/>
            </w:rPr>
            <w:fldChar w:fldCharType="begin"/>
          </w:r>
          <w:r>
            <w:rPr>
              <w:rFonts w:hint="eastAsia" w:ascii="Times New Roman" w:hAnsi="Times New Roman" w:eastAsia="仿宋_GB2312" w:cs="Times New Roman"/>
              <w:kern w:val="2"/>
              <w:sz w:val="32"/>
              <w:szCs w:val="24"/>
              <w:lang w:val="en-US" w:eastAsia="zh-CN" w:bidi="ar-SA"/>
            </w:rPr>
            <w:instrText xml:space="preserve"> PAGEREF _Toc25267 \h </w:instrText>
          </w:r>
          <w:r>
            <w:rPr>
              <w:rFonts w:hint="eastAsia" w:ascii="Times New Roman" w:hAnsi="Times New Roman" w:eastAsia="仿宋_GB2312" w:cs="Times New Roman"/>
              <w:kern w:val="2"/>
              <w:sz w:val="32"/>
              <w:szCs w:val="24"/>
              <w:lang w:val="en-US" w:eastAsia="zh-CN" w:bidi="ar-SA"/>
            </w:rPr>
            <w:fldChar w:fldCharType="separate"/>
          </w:r>
          <w:r>
            <w:rPr>
              <w:rFonts w:hint="eastAsia" w:ascii="Times New Roman" w:hAnsi="Times New Roman" w:eastAsia="仿宋_GB2312" w:cs="Times New Roman"/>
              <w:kern w:val="2"/>
              <w:sz w:val="32"/>
              <w:szCs w:val="24"/>
              <w:lang w:val="en-US" w:eastAsia="zh-CN" w:bidi="ar-SA"/>
            </w:rPr>
            <w:t>5</w:t>
          </w:r>
          <w:r>
            <w:rPr>
              <w:rFonts w:hint="eastAsia" w:ascii="Times New Roman" w:hAnsi="Times New Roman" w:eastAsia="仿宋_GB2312" w:cs="Times New Roman"/>
              <w:kern w:val="2"/>
              <w:sz w:val="32"/>
              <w:szCs w:val="24"/>
              <w:lang w:val="en-US" w:eastAsia="zh-CN" w:bidi="ar-SA"/>
            </w:rPr>
            <w:fldChar w:fldCharType="end"/>
          </w:r>
          <w:r>
            <w:rPr>
              <w:rFonts w:hint="eastAsia" w:ascii="Times New Roman" w:hAnsi="Times New Roman" w:eastAsia="仿宋_GB2312" w:cs="Times New Roman"/>
              <w:kern w:val="2"/>
              <w:sz w:val="32"/>
              <w:szCs w:val="24"/>
              <w:lang w:val="en-US" w:eastAsia="zh-CN" w:bidi="ar-SA"/>
            </w:rPr>
            <w:fldChar w:fldCharType="end"/>
          </w:r>
        </w:p>
        <w:p>
          <w:pPr>
            <w:pStyle w:val="11"/>
            <w:tabs>
              <w:tab w:val="right" w:leader="dot" w:pos="8306"/>
            </w:tabs>
            <w:ind w:left="0" w:leftChars="0" w:firstLine="0" w:firstLineChars="0"/>
            <w:rPr>
              <w:rFonts w:hint="eastAsia"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fldChar w:fldCharType="begin"/>
          </w:r>
          <w:r>
            <w:rPr>
              <w:rFonts w:hint="eastAsia" w:ascii="Times New Roman" w:hAnsi="Times New Roman" w:eastAsia="仿宋_GB2312" w:cs="Times New Roman"/>
              <w:kern w:val="2"/>
              <w:sz w:val="32"/>
              <w:szCs w:val="24"/>
              <w:lang w:val="en-US" w:eastAsia="zh-CN" w:bidi="ar-SA"/>
            </w:rPr>
            <w:instrText xml:space="preserve"> HYPERLINK \l _Toc11395 </w:instrText>
          </w:r>
          <w:r>
            <w:rPr>
              <w:rFonts w:hint="eastAsia" w:ascii="Times New Roman" w:hAnsi="Times New Roman" w:eastAsia="仿宋_GB2312" w:cs="Times New Roman"/>
              <w:kern w:val="2"/>
              <w:sz w:val="32"/>
              <w:szCs w:val="24"/>
              <w:lang w:val="en-US" w:eastAsia="zh-CN" w:bidi="ar-SA"/>
            </w:rPr>
            <w:fldChar w:fldCharType="separate"/>
          </w:r>
          <w:r>
            <w:rPr>
              <w:rFonts w:hint="eastAsia" w:ascii="Times New Roman" w:hAnsi="Times New Roman" w:eastAsia="仿宋_GB2312" w:cs="Times New Roman"/>
              <w:kern w:val="2"/>
              <w:sz w:val="32"/>
              <w:szCs w:val="24"/>
              <w:lang w:val="en-US" w:eastAsia="zh-CN" w:bidi="ar-SA"/>
            </w:rPr>
            <w:t>（五）当年部门（单位）预算及执行情况</w:t>
          </w:r>
          <w:r>
            <w:rPr>
              <w:rFonts w:hint="eastAsia" w:ascii="Times New Roman" w:hAnsi="Times New Roman" w:eastAsia="仿宋_GB2312" w:cs="Times New Roman"/>
              <w:kern w:val="2"/>
              <w:sz w:val="32"/>
              <w:szCs w:val="24"/>
              <w:lang w:val="en-US" w:eastAsia="zh-CN" w:bidi="ar-SA"/>
            </w:rPr>
            <w:tab/>
          </w:r>
          <w:r>
            <w:rPr>
              <w:rFonts w:hint="eastAsia" w:ascii="Times New Roman" w:hAnsi="Times New Roman" w:eastAsia="仿宋_GB2312" w:cs="Times New Roman"/>
              <w:kern w:val="2"/>
              <w:sz w:val="32"/>
              <w:szCs w:val="24"/>
              <w:lang w:val="en-US" w:eastAsia="zh-CN" w:bidi="ar-SA"/>
            </w:rPr>
            <w:fldChar w:fldCharType="begin"/>
          </w:r>
          <w:r>
            <w:rPr>
              <w:rFonts w:hint="eastAsia" w:ascii="Times New Roman" w:hAnsi="Times New Roman" w:eastAsia="仿宋_GB2312" w:cs="Times New Roman"/>
              <w:kern w:val="2"/>
              <w:sz w:val="32"/>
              <w:szCs w:val="24"/>
              <w:lang w:val="en-US" w:eastAsia="zh-CN" w:bidi="ar-SA"/>
            </w:rPr>
            <w:instrText xml:space="preserve"> PAGEREF _Toc11395 \h </w:instrText>
          </w:r>
          <w:r>
            <w:rPr>
              <w:rFonts w:hint="eastAsia" w:ascii="Times New Roman" w:hAnsi="Times New Roman" w:eastAsia="仿宋_GB2312" w:cs="Times New Roman"/>
              <w:kern w:val="2"/>
              <w:sz w:val="32"/>
              <w:szCs w:val="24"/>
              <w:lang w:val="en-US" w:eastAsia="zh-CN" w:bidi="ar-SA"/>
            </w:rPr>
            <w:fldChar w:fldCharType="separate"/>
          </w:r>
          <w:r>
            <w:rPr>
              <w:rFonts w:hint="eastAsia" w:ascii="Times New Roman" w:hAnsi="Times New Roman" w:eastAsia="仿宋_GB2312" w:cs="Times New Roman"/>
              <w:kern w:val="2"/>
              <w:sz w:val="32"/>
              <w:szCs w:val="24"/>
              <w:lang w:val="en-US" w:eastAsia="zh-CN" w:bidi="ar-SA"/>
            </w:rPr>
            <w:t>7</w:t>
          </w:r>
          <w:r>
            <w:rPr>
              <w:rFonts w:hint="eastAsia" w:ascii="Times New Roman" w:hAnsi="Times New Roman" w:eastAsia="仿宋_GB2312" w:cs="Times New Roman"/>
              <w:kern w:val="2"/>
              <w:sz w:val="32"/>
              <w:szCs w:val="24"/>
              <w:lang w:val="en-US" w:eastAsia="zh-CN" w:bidi="ar-SA"/>
            </w:rPr>
            <w:fldChar w:fldCharType="end"/>
          </w:r>
          <w:r>
            <w:rPr>
              <w:rFonts w:hint="eastAsia" w:ascii="Times New Roman" w:hAnsi="Times New Roman" w:eastAsia="仿宋_GB2312" w:cs="Times New Roman"/>
              <w:kern w:val="2"/>
              <w:sz w:val="32"/>
              <w:szCs w:val="24"/>
              <w:lang w:val="en-US" w:eastAsia="zh-CN" w:bidi="ar-SA"/>
            </w:rPr>
            <w:fldChar w:fldCharType="end"/>
          </w:r>
        </w:p>
        <w:p>
          <w:pPr>
            <w:pStyle w:val="11"/>
            <w:tabs>
              <w:tab w:val="right" w:leader="dot" w:pos="8306"/>
            </w:tabs>
            <w:ind w:left="0" w:leftChars="0" w:firstLine="0" w:firstLineChars="0"/>
            <w:rPr>
              <w:rFonts w:hint="eastAsia"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fldChar w:fldCharType="begin"/>
          </w:r>
          <w:r>
            <w:rPr>
              <w:rFonts w:hint="eastAsia" w:ascii="Times New Roman" w:hAnsi="Times New Roman" w:eastAsia="仿宋_GB2312" w:cs="Times New Roman"/>
              <w:kern w:val="2"/>
              <w:sz w:val="32"/>
              <w:szCs w:val="24"/>
              <w:lang w:val="en-US" w:eastAsia="zh-CN" w:bidi="ar-SA"/>
            </w:rPr>
            <w:instrText xml:space="preserve"> HYPERLINK \l _Toc22270 </w:instrText>
          </w:r>
          <w:r>
            <w:rPr>
              <w:rFonts w:hint="eastAsia" w:ascii="Times New Roman" w:hAnsi="Times New Roman" w:eastAsia="仿宋_GB2312" w:cs="Times New Roman"/>
              <w:kern w:val="2"/>
              <w:sz w:val="32"/>
              <w:szCs w:val="24"/>
              <w:lang w:val="en-US" w:eastAsia="zh-CN" w:bidi="ar-SA"/>
            </w:rPr>
            <w:fldChar w:fldCharType="separate"/>
          </w:r>
          <w:r>
            <w:rPr>
              <w:rFonts w:hint="eastAsia" w:ascii="Times New Roman" w:hAnsi="Times New Roman" w:eastAsia="仿宋_GB2312" w:cs="Times New Roman"/>
              <w:kern w:val="2"/>
              <w:sz w:val="32"/>
              <w:szCs w:val="24"/>
              <w:lang w:val="en-US" w:eastAsia="zh-CN" w:bidi="ar-SA"/>
            </w:rPr>
            <w:t>二、部门（单位）整体支出绩效实现情况</w:t>
          </w:r>
          <w:r>
            <w:rPr>
              <w:rFonts w:hint="eastAsia" w:ascii="Times New Roman" w:hAnsi="Times New Roman" w:eastAsia="仿宋_GB2312" w:cs="Times New Roman"/>
              <w:kern w:val="2"/>
              <w:sz w:val="32"/>
              <w:szCs w:val="24"/>
              <w:lang w:val="en-US" w:eastAsia="zh-CN" w:bidi="ar-SA"/>
            </w:rPr>
            <w:tab/>
          </w:r>
          <w:r>
            <w:rPr>
              <w:rFonts w:hint="eastAsia" w:ascii="Times New Roman" w:hAnsi="Times New Roman" w:eastAsia="仿宋_GB2312" w:cs="Times New Roman"/>
              <w:kern w:val="2"/>
              <w:sz w:val="32"/>
              <w:szCs w:val="24"/>
              <w:lang w:val="en-US" w:eastAsia="zh-CN" w:bidi="ar-SA"/>
            </w:rPr>
            <w:fldChar w:fldCharType="begin"/>
          </w:r>
          <w:r>
            <w:rPr>
              <w:rFonts w:hint="eastAsia" w:ascii="Times New Roman" w:hAnsi="Times New Roman" w:eastAsia="仿宋_GB2312" w:cs="Times New Roman"/>
              <w:kern w:val="2"/>
              <w:sz w:val="32"/>
              <w:szCs w:val="24"/>
              <w:lang w:val="en-US" w:eastAsia="zh-CN" w:bidi="ar-SA"/>
            </w:rPr>
            <w:instrText xml:space="preserve"> PAGEREF _Toc22270 \h </w:instrText>
          </w:r>
          <w:r>
            <w:rPr>
              <w:rFonts w:hint="eastAsia" w:ascii="Times New Roman" w:hAnsi="Times New Roman" w:eastAsia="仿宋_GB2312" w:cs="Times New Roman"/>
              <w:kern w:val="2"/>
              <w:sz w:val="32"/>
              <w:szCs w:val="24"/>
              <w:lang w:val="en-US" w:eastAsia="zh-CN" w:bidi="ar-SA"/>
            </w:rPr>
            <w:fldChar w:fldCharType="separate"/>
          </w:r>
          <w:r>
            <w:rPr>
              <w:rFonts w:hint="eastAsia" w:ascii="Times New Roman" w:hAnsi="Times New Roman" w:eastAsia="仿宋_GB2312" w:cs="Times New Roman"/>
              <w:kern w:val="2"/>
              <w:sz w:val="32"/>
              <w:szCs w:val="24"/>
              <w:lang w:val="en-US" w:eastAsia="zh-CN" w:bidi="ar-SA"/>
            </w:rPr>
            <w:t>8</w:t>
          </w:r>
          <w:r>
            <w:rPr>
              <w:rFonts w:hint="eastAsia" w:ascii="Times New Roman" w:hAnsi="Times New Roman" w:eastAsia="仿宋_GB2312" w:cs="Times New Roman"/>
              <w:kern w:val="2"/>
              <w:sz w:val="32"/>
              <w:szCs w:val="24"/>
              <w:lang w:val="en-US" w:eastAsia="zh-CN" w:bidi="ar-SA"/>
            </w:rPr>
            <w:fldChar w:fldCharType="end"/>
          </w:r>
          <w:r>
            <w:rPr>
              <w:rFonts w:hint="eastAsia" w:ascii="Times New Roman" w:hAnsi="Times New Roman" w:eastAsia="仿宋_GB2312" w:cs="Times New Roman"/>
              <w:kern w:val="2"/>
              <w:sz w:val="32"/>
              <w:szCs w:val="24"/>
              <w:lang w:val="en-US" w:eastAsia="zh-CN" w:bidi="ar-SA"/>
            </w:rPr>
            <w:fldChar w:fldCharType="end"/>
          </w:r>
        </w:p>
        <w:p>
          <w:pPr>
            <w:pStyle w:val="11"/>
            <w:tabs>
              <w:tab w:val="right" w:leader="dot" w:pos="8306"/>
            </w:tabs>
            <w:ind w:left="0" w:leftChars="0" w:firstLine="0" w:firstLineChars="0"/>
            <w:rPr>
              <w:rFonts w:hint="eastAsia"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fldChar w:fldCharType="begin"/>
          </w:r>
          <w:r>
            <w:rPr>
              <w:rFonts w:hint="eastAsia" w:ascii="Times New Roman" w:hAnsi="Times New Roman" w:eastAsia="仿宋_GB2312" w:cs="Times New Roman"/>
              <w:kern w:val="2"/>
              <w:sz w:val="32"/>
              <w:szCs w:val="24"/>
              <w:lang w:val="en-US" w:eastAsia="zh-CN" w:bidi="ar-SA"/>
            </w:rPr>
            <w:instrText xml:space="preserve"> HYPERLINK \l _Toc31932 </w:instrText>
          </w:r>
          <w:r>
            <w:rPr>
              <w:rFonts w:hint="eastAsia" w:ascii="Times New Roman" w:hAnsi="Times New Roman" w:eastAsia="仿宋_GB2312" w:cs="Times New Roman"/>
              <w:kern w:val="2"/>
              <w:sz w:val="32"/>
              <w:szCs w:val="24"/>
              <w:lang w:val="en-US" w:eastAsia="zh-CN" w:bidi="ar-SA"/>
            </w:rPr>
            <w:fldChar w:fldCharType="separate"/>
          </w:r>
          <w:r>
            <w:rPr>
              <w:rFonts w:hint="eastAsia" w:ascii="Times New Roman" w:hAnsi="Times New Roman" w:eastAsia="仿宋_GB2312" w:cs="Times New Roman"/>
              <w:kern w:val="2"/>
              <w:sz w:val="32"/>
              <w:szCs w:val="24"/>
              <w:lang w:val="en-US" w:eastAsia="zh-CN" w:bidi="ar-SA"/>
            </w:rPr>
            <w:t>（一）履职完成情况</w:t>
          </w:r>
          <w:r>
            <w:rPr>
              <w:rFonts w:hint="eastAsia" w:ascii="Times New Roman" w:hAnsi="Times New Roman" w:eastAsia="仿宋_GB2312" w:cs="Times New Roman"/>
              <w:kern w:val="2"/>
              <w:sz w:val="32"/>
              <w:szCs w:val="24"/>
              <w:lang w:val="en-US" w:eastAsia="zh-CN" w:bidi="ar-SA"/>
            </w:rPr>
            <w:tab/>
          </w:r>
          <w:r>
            <w:rPr>
              <w:rFonts w:hint="eastAsia" w:ascii="Times New Roman" w:hAnsi="Times New Roman" w:eastAsia="仿宋_GB2312" w:cs="Times New Roman"/>
              <w:kern w:val="2"/>
              <w:sz w:val="32"/>
              <w:szCs w:val="24"/>
              <w:lang w:val="en-US" w:eastAsia="zh-CN" w:bidi="ar-SA"/>
            </w:rPr>
            <w:fldChar w:fldCharType="begin"/>
          </w:r>
          <w:r>
            <w:rPr>
              <w:rFonts w:hint="eastAsia" w:ascii="Times New Roman" w:hAnsi="Times New Roman" w:eastAsia="仿宋_GB2312" w:cs="Times New Roman"/>
              <w:kern w:val="2"/>
              <w:sz w:val="32"/>
              <w:szCs w:val="24"/>
              <w:lang w:val="en-US" w:eastAsia="zh-CN" w:bidi="ar-SA"/>
            </w:rPr>
            <w:instrText xml:space="preserve"> PAGEREF _Toc31932 \h </w:instrText>
          </w:r>
          <w:r>
            <w:rPr>
              <w:rFonts w:hint="eastAsia" w:ascii="Times New Roman" w:hAnsi="Times New Roman" w:eastAsia="仿宋_GB2312" w:cs="Times New Roman"/>
              <w:kern w:val="2"/>
              <w:sz w:val="32"/>
              <w:szCs w:val="24"/>
              <w:lang w:val="en-US" w:eastAsia="zh-CN" w:bidi="ar-SA"/>
            </w:rPr>
            <w:fldChar w:fldCharType="separate"/>
          </w:r>
          <w:r>
            <w:rPr>
              <w:rFonts w:hint="eastAsia" w:ascii="Times New Roman" w:hAnsi="Times New Roman" w:eastAsia="仿宋_GB2312" w:cs="Times New Roman"/>
              <w:kern w:val="2"/>
              <w:sz w:val="32"/>
              <w:szCs w:val="24"/>
              <w:lang w:val="en-US" w:eastAsia="zh-CN" w:bidi="ar-SA"/>
            </w:rPr>
            <w:t>8</w:t>
          </w:r>
          <w:r>
            <w:rPr>
              <w:rFonts w:hint="eastAsia" w:ascii="Times New Roman" w:hAnsi="Times New Roman" w:eastAsia="仿宋_GB2312" w:cs="Times New Roman"/>
              <w:kern w:val="2"/>
              <w:sz w:val="32"/>
              <w:szCs w:val="24"/>
              <w:lang w:val="en-US" w:eastAsia="zh-CN" w:bidi="ar-SA"/>
            </w:rPr>
            <w:fldChar w:fldCharType="end"/>
          </w:r>
          <w:r>
            <w:rPr>
              <w:rFonts w:hint="eastAsia" w:ascii="Times New Roman" w:hAnsi="Times New Roman" w:eastAsia="仿宋_GB2312" w:cs="Times New Roman"/>
              <w:kern w:val="2"/>
              <w:sz w:val="32"/>
              <w:szCs w:val="24"/>
              <w:lang w:val="en-US" w:eastAsia="zh-CN" w:bidi="ar-SA"/>
            </w:rPr>
            <w:fldChar w:fldCharType="end"/>
          </w:r>
        </w:p>
        <w:p>
          <w:pPr>
            <w:pStyle w:val="11"/>
            <w:tabs>
              <w:tab w:val="right" w:leader="dot" w:pos="8306"/>
            </w:tabs>
            <w:ind w:left="0" w:leftChars="0" w:firstLine="0" w:firstLineChars="0"/>
            <w:rPr>
              <w:rFonts w:hint="eastAsia"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fldChar w:fldCharType="begin"/>
          </w:r>
          <w:r>
            <w:rPr>
              <w:rFonts w:hint="eastAsia" w:ascii="Times New Roman" w:hAnsi="Times New Roman" w:eastAsia="仿宋_GB2312" w:cs="Times New Roman"/>
              <w:kern w:val="2"/>
              <w:sz w:val="32"/>
              <w:szCs w:val="24"/>
              <w:lang w:val="en-US" w:eastAsia="zh-CN" w:bidi="ar-SA"/>
            </w:rPr>
            <w:instrText xml:space="preserve"> HYPERLINK \l _Toc9505 </w:instrText>
          </w:r>
          <w:r>
            <w:rPr>
              <w:rFonts w:hint="eastAsia" w:ascii="Times New Roman" w:hAnsi="Times New Roman" w:eastAsia="仿宋_GB2312" w:cs="Times New Roman"/>
              <w:kern w:val="2"/>
              <w:sz w:val="32"/>
              <w:szCs w:val="24"/>
              <w:lang w:val="en-US" w:eastAsia="zh-CN" w:bidi="ar-SA"/>
            </w:rPr>
            <w:fldChar w:fldCharType="separate"/>
          </w:r>
          <w:r>
            <w:rPr>
              <w:rFonts w:hint="eastAsia" w:ascii="Times New Roman" w:hAnsi="Times New Roman" w:eastAsia="仿宋_GB2312" w:cs="Times New Roman"/>
              <w:kern w:val="2"/>
              <w:sz w:val="32"/>
              <w:szCs w:val="24"/>
              <w:lang w:val="en-US" w:eastAsia="zh-CN" w:bidi="ar-SA"/>
            </w:rPr>
            <w:t>（二）履职效果情况</w:t>
          </w:r>
          <w:r>
            <w:rPr>
              <w:rFonts w:hint="eastAsia" w:ascii="Times New Roman" w:hAnsi="Times New Roman" w:eastAsia="仿宋_GB2312" w:cs="Times New Roman"/>
              <w:kern w:val="2"/>
              <w:sz w:val="32"/>
              <w:szCs w:val="24"/>
              <w:lang w:val="en-US" w:eastAsia="zh-CN" w:bidi="ar-SA"/>
            </w:rPr>
            <w:tab/>
          </w:r>
          <w:r>
            <w:rPr>
              <w:rFonts w:hint="eastAsia" w:ascii="Times New Roman" w:hAnsi="Times New Roman" w:eastAsia="仿宋_GB2312" w:cs="Times New Roman"/>
              <w:kern w:val="2"/>
              <w:sz w:val="32"/>
              <w:szCs w:val="24"/>
              <w:lang w:val="en-US" w:eastAsia="zh-CN" w:bidi="ar-SA"/>
            </w:rPr>
            <w:fldChar w:fldCharType="begin"/>
          </w:r>
          <w:r>
            <w:rPr>
              <w:rFonts w:hint="eastAsia" w:ascii="Times New Roman" w:hAnsi="Times New Roman" w:eastAsia="仿宋_GB2312" w:cs="Times New Roman"/>
              <w:kern w:val="2"/>
              <w:sz w:val="32"/>
              <w:szCs w:val="24"/>
              <w:lang w:val="en-US" w:eastAsia="zh-CN" w:bidi="ar-SA"/>
            </w:rPr>
            <w:instrText xml:space="preserve"> PAGEREF _Toc9505 \h </w:instrText>
          </w:r>
          <w:r>
            <w:rPr>
              <w:rFonts w:hint="eastAsia" w:ascii="Times New Roman" w:hAnsi="Times New Roman" w:eastAsia="仿宋_GB2312" w:cs="Times New Roman"/>
              <w:kern w:val="2"/>
              <w:sz w:val="32"/>
              <w:szCs w:val="24"/>
              <w:lang w:val="en-US" w:eastAsia="zh-CN" w:bidi="ar-SA"/>
            </w:rPr>
            <w:fldChar w:fldCharType="separate"/>
          </w:r>
          <w:r>
            <w:rPr>
              <w:rFonts w:hint="eastAsia" w:ascii="Times New Roman" w:hAnsi="Times New Roman" w:eastAsia="仿宋_GB2312" w:cs="Times New Roman"/>
              <w:kern w:val="2"/>
              <w:sz w:val="32"/>
              <w:szCs w:val="24"/>
              <w:lang w:val="en-US" w:eastAsia="zh-CN" w:bidi="ar-SA"/>
            </w:rPr>
            <w:t>18</w:t>
          </w:r>
          <w:r>
            <w:rPr>
              <w:rFonts w:hint="eastAsia" w:ascii="Times New Roman" w:hAnsi="Times New Roman" w:eastAsia="仿宋_GB2312" w:cs="Times New Roman"/>
              <w:kern w:val="2"/>
              <w:sz w:val="32"/>
              <w:szCs w:val="24"/>
              <w:lang w:val="en-US" w:eastAsia="zh-CN" w:bidi="ar-SA"/>
            </w:rPr>
            <w:fldChar w:fldCharType="end"/>
          </w:r>
          <w:r>
            <w:rPr>
              <w:rFonts w:hint="eastAsia" w:ascii="Times New Roman" w:hAnsi="Times New Roman" w:eastAsia="仿宋_GB2312" w:cs="Times New Roman"/>
              <w:kern w:val="2"/>
              <w:sz w:val="32"/>
              <w:szCs w:val="24"/>
              <w:lang w:val="en-US" w:eastAsia="zh-CN" w:bidi="ar-SA"/>
            </w:rPr>
            <w:fldChar w:fldCharType="end"/>
          </w:r>
        </w:p>
        <w:p>
          <w:pPr>
            <w:pStyle w:val="11"/>
            <w:tabs>
              <w:tab w:val="right" w:leader="dot" w:pos="8306"/>
            </w:tabs>
            <w:ind w:left="0" w:leftChars="0" w:firstLine="0" w:firstLineChars="0"/>
            <w:rPr>
              <w:rFonts w:hint="eastAsia"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fldChar w:fldCharType="begin"/>
          </w:r>
          <w:r>
            <w:rPr>
              <w:rFonts w:hint="eastAsia" w:ascii="Times New Roman" w:hAnsi="Times New Roman" w:eastAsia="仿宋_GB2312" w:cs="Times New Roman"/>
              <w:kern w:val="2"/>
              <w:sz w:val="32"/>
              <w:szCs w:val="24"/>
              <w:lang w:val="en-US" w:eastAsia="zh-CN" w:bidi="ar-SA"/>
            </w:rPr>
            <w:instrText xml:space="preserve"> HYPERLINK \l _Toc902 </w:instrText>
          </w:r>
          <w:r>
            <w:rPr>
              <w:rFonts w:hint="eastAsia" w:ascii="Times New Roman" w:hAnsi="Times New Roman" w:eastAsia="仿宋_GB2312" w:cs="Times New Roman"/>
              <w:kern w:val="2"/>
              <w:sz w:val="32"/>
              <w:szCs w:val="24"/>
              <w:lang w:val="en-US" w:eastAsia="zh-CN" w:bidi="ar-SA"/>
            </w:rPr>
            <w:fldChar w:fldCharType="separate"/>
          </w:r>
          <w:r>
            <w:rPr>
              <w:rFonts w:hint="eastAsia" w:ascii="Times New Roman" w:hAnsi="Times New Roman" w:eastAsia="仿宋_GB2312" w:cs="Times New Roman"/>
              <w:kern w:val="2"/>
              <w:sz w:val="32"/>
              <w:szCs w:val="24"/>
              <w:lang w:val="en-US" w:eastAsia="zh-CN" w:bidi="ar-SA"/>
            </w:rPr>
            <w:t>（三）社会满意度</w:t>
          </w:r>
          <w:r>
            <w:rPr>
              <w:rFonts w:hint="eastAsia" w:ascii="Times New Roman" w:hAnsi="Times New Roman" w:eastAsia="仿宋_GB2312" w:cs="Times New Roman"/>
              <w:kern w:val="2"/>
              <w:sz w:val="32"/>
              <w:szCs w:val="24"/>
              <w:lang w:val="en-US" w:eastAsia="zh-CN" w:bidi="ar-SA"/>
            </w:rPr>
            <w:tab/>
          </w:r>
          <w:r>
            <w:rPr>
              <w:rFonts w:hint="eastAsia" w:ascii="Times New Roman" w:hAnsi="Times New Roman" w:eastAsia="仿宋_GB2312" w:cs="Times New Roman"/>
              <w:kern w:val="2"/>
              <w:sz w:val="32"/>
              <w:szCs w:val="24"/>
              <w:lang w:val="en-US" w:eastAsia="zh-CN" w:bidi="ar-SA"/>
            </w:rPr>
            <w:fldChar w:fldCharType="begin"/>
          </w:r>
          <w:r>
            <w:rPr>
              <w:rFonts w:hint="eastAsia" w:ascii="Times New Roman" w:hAnsi="Times New Roman" w:eastAsia="仿宋_GB2312" w:cs="Times New Roman"/>
              <w:kern w:val="2"/>
              <w:sz w:val="32"/>
              <w:szCs w:val="24"/>
              <w:lang w:val="en-US" w:eastAsia="zh-CN" w:bidi="ar-SA"/>
            </w:rPr>
            <w:instrText xml:space="preserve"> PAGEREF _Toc902 \h </w:instrText>
          </w:r>
          <w:r>
            <w:rPr>
              <w:rFonts w:hint="eastAsia" w:ascii="Times New Roman" w:hAnsi="Times New Roman" w:eastAsia="仿宋_GB2312" w:cs="Times New Roman"/>
              <w:kern w:val="2"/>
              <w:sz w:val="32"/>
              <w:szCs w:val="24"/>
              <w:lang w:val="en-US" w:eastAsia="zh-CN" w:bidi="ar-SA"/>
            </w:rPr>
            <w:fldChar w:fldCharType="separate"/>
          </w:r>
          <w:r>
            <w:rPr>
              <w:rFonts w:hint="eastAsia" w:ascii="Times New Roman" w:hAnsi="Times New Roman" w:eastAsia="仿宋_GB2312" w:cs="Times New Roman"/>
              <w:kern w:val="2"/>
              <w:sz w:val="32"/>
              <w:szCs w:val="24"/>
              <w:lang w:val="en-US" w:eastAsia="zh-CN" w:bidi="ar-SA"/>
            </w:rPr>
            <w:t>22</w:t>
          </w:r>
          <w:r>
            <w:rPr>
              <w:rFonts w:hint="eastAsia" w:ascii="Times New Roman" w:hAnsi="Times New Roman" w:eastAsia="仿宋_GB2312" w:cs="Times New Roman"/>
              <w:kern w:val="2"/>
              <w:sz w:val="32"/>
              <w:szCs w:val="24"/>
              <w:lang w:val="en-US" w:eastAsia="zh-CN" w:bidi="ar-SA"/>
            </w:rPr>
            <w:fldChar w:fldCharType="end"/>
          </w:r>
          <w:r>
            <w:rPr>
              <w:rFonts w:hint="eastAsia" w:ascii="Times New Roman" w:hAnsi="Times New Roman" w:eastAsia="仿宋_GB2312" w:cs="Times New Roman"/>
              <w:kern w:val="2"/>
              <w:sz w:val="32"/>
              <w:szCs w:val="24"/>
              <w:lang w:val="en-US" w:eastAsia="zh-CN" w:bidi="ar-SA"/>
            </w:rPr>
            <w:fldChar w:fldCharType="end"/>
          </w:r>
        </w:p>
        <w:p>
          <w:pPr>
            <w:pStyle w:val="11"/>
            <w:tabs>
              <w:tab w:val="right" w:leader="dot" w:pos="8306"/>
            </w:tabs>
            <w:ind w:left="0" w:leftChars="0" w:firstLine="0" w:firstLineChars="0"/>
            <w:rPr>
              <w:rFonts w:hint="eastAsia"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fldChar w:fldCharType="begin"/>
          </w:r>
          <w:r>
            <w:rPr>
              <w:rFonts w:hint="eastAsia" w:ascii="Times New Roman" w:hAnsi="Times New Roman" w:eastAsia="仿宋_GB2312" w:cs="Times New Roman"/>
              <w:kern w:val="2"/>
              <w:sz w:val="32"/>
              <w:szCs w:val="24"/>
              <w:lang w:val="en-US" w:eastAsia="zh-CN" w:bidi="ar-SA"/>
            </w:rPr>
            <w:instrText xml:space="preserve"> HYPERLINK \l _Toc13383 </w:instrText>
          </w:r>
          <w:r>
            <w:rPr>
              <w:rFonts w:hint="eastAsia" w:ascii="Times New Roman" w:hAnsi="Times New Roman" w:eastAsia="仿宋_GB2312" w:cs="Times New Roman"/>
              <w:kern w:val="2"/>
              <w:sz w:val="32"/>
              <w:szCs w:val="24"/>
              <w:lang w:val="en-US" w:eastAsia="zh-CN" w:bidi="ar-SA"/>
            </w:rPr>
            <w:fldChar w:fldCharType="separate"/>
          </w:r>
          <w:r>
            <w:rPr>
              <w:rFonts w:hint="eastAsia" w:ascii="Times New Roman" w:hAnsi="Times New Roman" w:eastAsia="仿宋_GB2312" w:cs="Times New Roman"/>
              <w:kern w:val="2"/>
              <w:sz w:val="32"/>
              <w:szCs w:val="24"/>
              <w:lang w:val="en-US" w:eastAsia="zh-CN" w:bidi="ar-SA"/>
            </w:rPr>
            <w:t>三、部门（单位）整体支出绩效中存在问题及改进措施</w:t>
          </w:r>
          <w:r>
            <w:rPr>
              <w:rFonts w:hint="eastAsia" w:ascii="Times New Roman" w:hAnsi="Times New Roman" w:eastAsia="仿宋_GB2312" w:cs="Times New Roman"/>
              <w:kern w:val="2"/>
              <w:sz w:val="32"/>
              <w:szCs w:val="24"/>
              <w:lang w:val="en-US" w:eastAsia="zh-CN" w:bidi="ar-SA"/>
            </w:rPr>
            <w:tab/>
          </w:r>
          <w:r>
            <w:rPr>
              <w:rFonts w:hint="eastAsia" w:ascii="Times New Roman" w:hAnsi="Times New Roman" w:eastAsia="仿宋_GB2312" w:cs="Times New Roman"/>
              <w:kern w:val="2"/>
              <w:sz w:val="32"/>
              <w:szCs w:val="24"/>
              <w:lang w:val="en-US" w:eastAsia="zh-CN" w:bidi="ar-SA"/>
            </w:rPr>
            <w:fldChar w:fldCharType="begin"/>
          </w:r>
          <w:r>
            <w:rPr>
              <w:rFonts w:hint="eastAsia" w:ascii="Times New Roman" w:hAnsi="Times New Roman" w:eastAsia="仿宋_GB2312" w:cs="Times New Roman"/>
              <w:kern w:val="2"/>
              <w:sz w:val="32"/>
              <w:szCs w:val="24"/>
              <w:lang w:val="en-US" w:eastAsia="zh-CN" w:bidi="ar-SA"/>
            </w:rPr>
            <w:instrText xml:space="preserve"> PAGEREF _Toc13383 \h </w:instrText>
          </w:r>
          <w:r>
            <w:rPr>
              <w:rFonts w:hint="eastAsia" w:ascii="Times New Roman" w:hAnsi="Times New Roman" w:eastAsia="仿宋_GB2312" w:cs="Times New Roman"/>
              <w:kern w:val="2"/>
              <w:sz w:val="32"/>
              <w:szCs w:val="24"/>
              <w:lang w:val="en-US" w:eastAsia="zh-CN" w:bidi="ar-SA"/>
            </w:rPr>
            <w:fldChar w:fldCharType="separate"/>
          </w:r>
          <w:r>
            <w:rPr>
              <w:rFonts w:hint="eastAsia" w:ascii="Times New Roman" w:hAnsi="Times New Roman" w:eastAsia="仿宋_GB2312" w:cs="Times New Roman"/>
              <w:kern w:val="2"/>
              <w:sz w:val="32"/>
              <w:szCs w:val="24"/>
              <w:lang w:val="en-US" w:eastAsia="zh-CN" w:bidi="ar-SA"/>
            </w:rPr>
            <w:t>23</w:t>
          </w:r>
          <w:r>
            <w:rPr>
              <w:rFonts w:hint="eastAsia" w:ascii="Times New Roman" w:hAnsi="Times New Roman" w:eastAsia="仿宋_GB2312" w:cs="Times New Roman"/>
              <w:kern w:val="2"/>
              <w:sz w:val="32"/>
              <w:szCs w:val="24"/>
              <w:lang w:val="en-US" w:eastAsia="zh-CN" w:bidi="ar-SA"/>
            </w:rPr>
            <w:fldChar w:fldCharType="end"/>
          </w:r>
          <w:r>
            <w:rPr>
              <w:rFonts w:hint="eastAsia" w:ascii="Times New Roman" w:hAnsi="Times New Roman" w:eastAsia="仿宋_GB2312" w:cs="Times New Roman"/>
              <w:kern w:val="2"/>
              <w:sz w:val="32"/>
              <w:szCs w:val="24"/>
              <w:lang w:val="en-US" w:eastAsia="zh-CN" w:bidi="ar-SA"/>
            </w:rPr>
            <w:fldChar w:fldCharType="end"/>
          </w:r>
        </w:p>
        <w:p>
          <w:pPr>
            <w:pStyle w:val="11"/>
            <w:tabs>
              <w:tab w:val="right" w:leader="dot" w:pos="8306"/>
            </w:tabs>
            <w:ind w:left="0" w:leftChars="0" w:firstLine="0" w:firstLineChars="0"/>
            <w:rPr>
              <w:rFonts w:hint="eastAsia"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fldChar w:fldCharType="begin"/>
          </w:r>
          <w:r>
            <w:rPr>
              <w:rFonts w:hint="eastAsia" w:ascii="Times New Roman" w:hAnsi="Times New Roman" w:eastAsia="仿宋_GB2312" w:cs="Times New Roman"/>
              <w:kern w:val="2"/>
              <w:sz w:val="32"/>
              <w:szCs w:val="24"/>
              <w:lang w:val="en-US" w:eastAsia="zh-CN" w:bidi="ar-SA"/>
            </w:rPr>
            <w:instrText xml:space="preserve"> HYPERLINK \l _Toc1569 </w:instrText>
          </w:r>
          <w:r>
            <w:rPr>
              <w:rFonts w:hint="eastAsia" w:ascii="Times New Roman" w:hAnsi="Times New Roman" w:eastAsia="仿宋_GB2312" w:cs="Times New Roman"/>
              <w:kern w:val="2"/>
              <w:sz w:val="32"/>
              <w:szCs w:val="24"/>
              <w:lang w:val="en-US" w:eastAsia="zh-CN" w:bidi="ar-SA"/>
            </w:rPr>
            <w:fldChar w:fldCharType="separate"/>
          </w:r>
          <w:r>
            <w:rPr>
              <w:rFonts w:hint="eastAsia" w:ascii="Times New Roman" w:hAnsi="Times New Roman" w:eastAsia="仿宋_GB2312" w:cs="Times New Roman"/>
              <w:kern w:val="2"/>
              <w:sz w:val="32"/>
              <w:szCs w:val="24"/>
              <w:lang w:val="en-US" w:eastAsia="zh-CN" w:bidi="ar-SA"/>
            </w:rPr>
            <w:t>（一）主要问题及原因分析</w:t>
          </w:r>
          <w:r>
            <w:rPr>
              <w:rFonts w:hint="eastAsia" w:ascii="Times New Roman" w:hAnsi="Times New Roman" w:eastAsia="仿宋_GB2312" w:cs="Times New Roman"/>
              <w:kern w:val="2"/>
              <w:sz w:val="32"/>
              <w:szCs w:val="24"/>
              <w:lang w:val="en-US" w:eastAsia="zh-CN" w:bidi="ar-SA"/>
            </w:rPr>
            <w:tab/>
          </w:r>
          <w:r>
            <w:rPr>
              <w:rFonts w:hint="eastAsia" w:ascii="Times New Roman" w:hAnsi="Times New Roman" w:eastAsia="仿宋_GB2312" w:cs="Times New Roman"/>
              <w:kern w:val="2"/>
              <w:sz w:val="32"/>
              <w:szCs w:val="24"/>
              <w:lang w:val="en-US" w:eastAsia="zh-CN" w:bidi="ar-SA"/>
            </w:rPr>
            <w:fldChar w:fldCharType="begin"/>
          </w:r>
          <w:r>
            <w:rPr>
              <w:rFonts w:hint="eastAsia" w:ascii="Times New Roman" w:hAnsi="Times New Roman" w:eastAsia="仿宋_GB2312" w:cs="Times New Roman"/>
              <w:kern w:val="2"/>
              <w:sz w:val="32"/>
              <w:szCs w:val="24"/>
              <w:lang w:val="en-US" w:eastAsia="zh-CN" w:bidi="ar-SA"/>
            </w:rPr>
            <w:instrText xml:space="preserve"> PAGEREF _Toc1569 \h </w:instrText>
          </w:r>
          <w:r>
            <w:rPr>
              <w:rFonts w:hint="eastAsia" w:ascii="Times New Roman" w:hAnsi="Times New Roman" w:eastAsia="仿宋_GB2312" w:cs="Times New Roman"/>
              <w:kern w:val="2"/>
              <w:sz w:val="32"/>
              <w:szCs w:val="24"/>
              <w:lang w:val="en-US" w:eastAsia="zh-CN" w:bidi="ar-SA"/>
            </w:rPr>
            <w:fldChar w:fldCharType="separate"/>
          </w:r>
          <w:r>
            <w:rPr>
              <w:rFonts w:hint="eastAsia" w:ascii="Times New Roman" w:hAnsi="Times New Roman" w:eastAsia="仿宋_GB2312" w:cs="Times New Roman"/>
              <w:kern w:val="2"/>
              <w:sz w:val="32"/>
              <w:szCs w:val="24"/>
              <w:lang w:val="en-US" w:eastAsia="zh-CN" w:bidi="ar-SA"/>
            </w:rPr>
            <w:t>23</w:t>
          </w:r>
          <w:r>
            <w:rPr>
              <w:rFonts w:hint="eastAsia" w:ascii="Times New Roman" w:hAnsi="Times New Roman" w:eastAsia="仿宋_GB2312" w:cs="Times New Roman"/>
              <w:kern w:val="2"/>
              <w:sz w:val="32"/>
              <w:szCs w:val="24"/>
              <w:lang w:val="en-US" w:eastAsia="zh-CN" w:bidi="ar-SA"/>
            </w:rPr>
            <w:fldChar w:fldCharType="end"/>
          </w:r>
          <w:r>
            <w:rPr>
              <w:rFonts w:hint="eastAsia" w:ascii="Times New Roman" w:hAnsi="Times New Roman" w:eastAsia="仿宋_GB2312" w:cs="Times New Roman"/>
              <w:kern w:val="2"/>
              <w:sz w:val="32"/>
              <w:szCs w:val="24"/>
              <w:lang w:val="en-US" w:eastAsia="zh-CN" w:bidi="ar-SA"/>
            </w:rPr>
            <w:fldChar w:fldCharType="end"/>
          </w:r>
        </w:p>
        <w:p>
          <w:pPr>
            <w:pStyle w:val="11"/>
            <w:tabs>
              <w:tab w:val="right" w:leader="dot" w:pos="8306"/>
            </w:tabs>
            <w:ind w:left="0" w:leftChars="0" w:firstLine="0" w:firstLineChars="0"/>
            <w:rPr>
              <w:rFonts w:hint="eastAsia"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fldChar w:fldCharType="begin"/>
          </w:r>
          <w:r>
            <w:rPr>
              <w:rFonts w:hint="eastAsia" w:ascii="Times New Roman" w:hAnsi="Times New Roman" w:eastAsia="仿宋_GB2312" w:cs="Times New Roman"/>
              <w:kern w:val="2"/>
              <w:sz w:val="32"/>
              <w:szCs w:val="24"/>
              <w:lang w:val="en-US" w:eastAsia="zh-CN" w:bidi="ar-SA"/>
            </w:rPr>
            <w:instrText xml:space="preserve"> HYPERLINK \l _Toc19567 </w:instrText>
          </w:r>
          <w:r>
            <w:rPr>
              <w:rFonts w:hint="eastAsia" w:ascii="Times New Roman" w:hAnsi="Times New Roman" w:eastAsia="仿宋_GB2312" w:cs="Times New Roman"/>
              <w:kern w:val="2"/>
              <w:sz w:val="32"/>
              <w:szCs w:val="24"/>
              <w:lang w:val="en-US" w:eastAsia="zh-CN" w:bidi="ar-SA"/>
            </w:rPr>
            <w:fldChar w:fldCharType="separate"/>
          </w:r>
          <w:r>
            <w:rPr>
              <w:rFonts w:hint="eastAsia" w:ascii="Times New Roman" w:hAnsi="Times New Roman" w:eastAsia="仿宋_GB2312" w:cs="Times New Roman"/>
              <w:kern w:val="2"/>
              <w:sz w:val="32"/>
              <w:szCs w:val="24"/>
              <w:lang w:val="en-US" w:eastAsia="zh-CN" w:bidi="ar-SA"/>
            </w:rPr>
            <w:t>（二）改进的方向和具体措施</w:t>
          </w:r>
          <w:r>
            <w:rPr>
              <w:rFonts w:hint="eastAsia" w:ascii="Times New Roman" w:hAnsi="Times New Roman" w:eastAsia="仿宋_GB2312" w:cs="Times New Roman"/>
              <w:kern w:val="2"/>
              <w:sz w:val="32"/>
              <w:szCs w:val="24"/>
              <w:lang w:val="en-US" w:eastAsia="zh-CN" w:bidi="ar-SA"/>
            </w:rPr>
            <w:tab/>
          </w:r>
          <w:r>
            <w:rPr>
              <w:rFonts w:hint="eastAsia" w:ascii="Times New Roman" w:hAnsi="Times New Roman" w:eastAsia="仿宋_GB2312" w:cs="Times New Roman"/>
              <w:kern w:val="2"/>
              <w:sz w:val="32"/>
              <w:szCs w:val="24"/>
              <w:lang w:val="en-US" w:eastAsia="zh-CN" w:bidi="ar-SA"/>
            </w:rPr>
            <w:fldChar w:fldCharType="begin"/>
          </w:r>
          <w:r>
            <w:rPr>
              <w:rFonts w:hint="eastAsia" w:ascii="Times New Roman" w:hAnsi="Times New Roman" w:eastAsia="仿宋_GB2312" w:cs="Times New Roman"/>
              <w:kern w:val="2"/>
              <w:sz w:val="32"/>
              <w:szCs w:val="24"/>
              <w:lang w:val="en-US" w:eastAsia="zh-CN" w:bidi="ar-SA"/>
            </w:rPr>
            <w:instrText xml:space="preserve"> PAGEREF _Toc19567 \h </w:instrText>
          </w:r>
          <w:r>
            <w:rPr>
              <w:rFonts w:hint="eastAsia" w:ascii="Times New Roman" w:hAnsi="Times New Roman" w:eastAsia="仿宋_GB2312" w:cs="Times New Roman"/>
              <w:kern w:val="2"/>
              <w:sz w:val="32"/>
              <w:szCs w:val="24"/>
              <w:lang w:val="en-US" w:eastAsia="zh-CN" w:bidi="ar-SA"/>
            </w:rPr>
            <w:fldChar w:fldCharType="separate"/>
          </w:r>
          <w:r>
            <w:rPr>
              <w:rFonts w:hint="eastAsia" w:ascii="Times New Roman" w:hAnsi="Times New Roman" w:eastAsia="仿宋_GB2312" w:cs="Times New Roman"/>
              <w:kern w:val="2"/>
              <w:sz w:val="32"/>
              <w:szCs w:val="24"/>
              <w:lang w:val="en-US" w:eastAsia="zh-CN" w:bidi="ar-SA"/>
            </w:rPr>
            <w:t>26</w:t>
          </w:r>
          <w:r>
            <w:rPr>
              <w:rFonts w:hint="eastAsia" w:ascii="Times New Roman" w:hAnsi="Times New Roman" w:eastAsia="仿宋_GB2312" w:cs="Times New Roman"/>
              <w:kern w:val="2"/>
              <w:sz w:val="32"/>
              <w:szCs w:val="24"/>
              <w:lang w:val="en-US" w:eastAsia="zh-CN" w:bidi="ar-SA"/>
            </w:rPr>
            <w:fldChar w:fldCharType="end"/>
          </w:r>
          <w:r>
            <w:rPr>
              <w:rFonts w:hint="eastAsia" w:ascii="Times New Roman" w:hAnsi="Times New Roman" w:eastAsia="仿宋_GB2312" w:cs="Times New Roman"/>
              <w:kern w:val="2"/>
              <w:sz w:val="32"/>
              <w:szCs w:val="24"/>
              <w:lang w:val="en-US" w:eastAsia="zh-CN" w:bidi="ar-SA"/>
            </w:rPr>
            <w:fldChar w:fldCharType="end"/>
          </w:r>
        </w:p>
        <w:p>
          <w:pPr>
            <w:pStyle w:val="11"/>
            <w:tabs>
              <w:tab w:val="right" w:leader="dot" w:pos="8306"/>
            </w:tabs>
            <w:ind w:left="0" w:leftChars="0" w:firstLine="0" w:firstLineChars="0"/>
          </w:pPr>
          <w:r>
            <w:rPr>
              <w:rFonts w:hint="eastAsia" w:ascii="Times New Roman" w:hAnsi="Times New Roman" w:eastAsia="仿宋_GB2312" w:cs="Times New Roman"/>
              <w:kern w:val="2"/>
              <w:sz w:val="32"/>
              <w:szCs w:val="24"/>
              <w:lang w:val="en-US" w:eastAsia="zh-CN" w:bidi="ar-SA"/>
            </w:rPr>
            <w:fldChar w:fldCharType="begin"/>
          </w:r>
          <w:r>
            <w:rPr>
              <w:rFonts w:hint="eastAsia" w:ascii="Times New Roman" w:hAnsi="Times New Roman" w:eastAsia="仿宋_GB2312" w:cs="Times New Roman"/>
              <w:kern w:val="2"/>
              <w:sz w:val="32"/>
              <w:szCs w:val="24"/>
              <w:lang w:val="en-US" w:eastAsia="zh-CN" w:bidi="ar-SA"/>
            </w:rPr>
            <w:instrText xml:space="preserve"> HYPERLINK \l _Toc19811 </w:instrText>
          </w:r>
          <w:r>
            <w:rPr>
              <w:rFonts w:hint="eastAsia" w:ascii="Times New Roman" w:hAnsi="Times New Roman" w:eastAsia="仿宋_GB2312" w:cs="Times New Roman"/>
              <w:kern w:val="2"/>
              <w:sz w:val="32"/>
              <w:szCs w:val="24"/>
              <w:lang w:val="en-US" w:eastAsia="zh-CN" w:bidi="ar-SA"/>
            </w:rPr>
            <w:fldChar w:fldCharType="separate"/>
          </w:r>
          <w:r>
            <w:rPr>
              <w:rFonts w:hint="eastAsia" w:ascii="Times New Roman" w:hAnsi="Times New Roman" w:eastAsia="仿宋_GB2312" w:cs="Times New Roman"/>
              <w:kern w:val="2"/>
              <w:sz w:val="32"/>
              <w:szCs w:val="24"/>
              <w:lang w:val="en-US" w:eastAsia="zh-CN" w:bidi="ar-SA"/>
            </w:rPr>
            <w:t>四、 其他需要说明的问题</w:t>
          </w:r>
          <w:r>
            <w:rPr>
              <w:rFonts w:hint="eastAsia" w:ascii="Times New Roman" w:hAnsi="Times New Roman" w:eastAsia="仿宋_GB2312" w:cs="Times New Roman"/>
              <w:kern w:val="2"/>
              <w:sz w:val="32"/>
              <w:szCs w:val="24"/>
              <w:lang w:val="en-US" w:eastAsia="zh-CN" w:bidi="ar-SA"/>
            </w:rPr>
            <w:tab/>
          </w:r>
          <w:r>
            <w:rPr>
              <w:rFonts w:hint="eastAsia" w:ascii="Times New Roman" w:hAnsi="Times New Roman" w:eastAsia="仿宋_GB2312" w:cs="Times New Roman"/>
              <w:kern w:val="2"/>
              <w:sz w:val="32"/>
              <w:szCs w:val="24"/>
              <w:lang w:val="en-US" w:eastAsia="zh-CN" w:bidi="ar-SA"/>
            </w:rPr>
            <w:fldChar w:fldCharType="begin"/>
          </w:r>
          <w:r>
            <w:rPr>
              <w:rFonts w:hint="eastAsia" w:ascii="Times New Roman" w:hAnsi="Times New Roman" w:eastAsia="仿宋_GB2312" w:cs="Times New Roman"/>
              <w:kern w:val="2"/>
              <w:sz w:val="32"/>
              <w:szCs w:val="24"/>
              <w:lang w:val="en-US" w:eastAsia="zh-CN" w:bidi="ar-SA"/>
            </w:rPr>
            <w:instrText xml:space="preserve"> PAGEREF _Toc19811 \h </w:instrText>
          </w:r>
          <w:r>
            <w:rPr>
              <w:rFonts w:hint="eastAsia" w:ascii="Times New Roman" w:hAnsi="Times New Roman" w:eastAsia="仿宋_GB2312" w:cs="Times New Roman"/>
              <w:kern w:val="2"/>
              <w:sz w:val="32"/>
              <w:szCs w:val="24"/>
              <w:lang w:val="en-US" w:eastAsia="zh-CN" w:bidi="ar-SA"/>
            </w:rPr>
            <w:fldChar w:fldCharType="separate"/>
          </w:r>
          <w:r>
            <w:rPr>
              <w:rFonts w:hint="eastAsia" w:ascii="Times New Roman" w:hAnsi="Times New Roman" w:eastAsia="仿宋_GB2312" w:cs="Times New Roman"/>
              <w:kern w:val="2"/>
              <w:sz w:val="32"/>
              <w:szCs w:val="24"/>
              <w:lang w:val="en-US" w:eastAsia="zh-CN" w:bidi="ar-SA"/>
            </w:rPr>
            <w:t>29</w:t>
          </w:r>
          <w:r>
            <w:rPr>
              <w:rFonts w:hint="eastAsia" w:ascii="Times New Roman" w:hAnsi="Times New Roman" w:eastAsia="仿宋_GB2312" w:cs="Times New Roman"/>
              <w:kern w:val="2"/>
              <w:sz w:val="32"/>
              <w:szCs w:val="24"/>
              <w:lang w:val="en-US" w:eastAsia="zh-CN" w:bidi="ar-SA"/>
            </w:rPr>
            <w:fldChar w:fldCharType="end"/>
          </w:r>
          <w:r>
            <w:rPr>
              <w:rFonts w:hint="eastAsia" w:ascii="Times New Roman" w:hAnsi="Times New Roman" w:eastAsia="仿宋_GB2312" w:cs="Times New Roman"/>
              <w:kern w:val="2"/>
              <w:sz w:val="32"/>
              <w:szCs w:val="24"/>
              <w:lang w:val="en-US" w:eastAsia="zh-CN" w:bidi="ar-SA"/>
            </w:rPr>
            <w:fldChar w:fldCharType="end"/>
          </w:r>
        </w:p>
        <w:p>
          <w:pPr>
            <w:keepNext w:val="0"/>
            <w:keepLines w:val="0"/>
            <w:pageBreakBefore w:val="0"/>
            <w:kinsoku/>
            <w:wordWrap/>
            <w:overflowPunct/>
            <w:topLinePunct w:val="0"/>
            <w:autoSpaceDE/>
            <w:autoSpaceDN/>
            <w:bidi w:val="0"/>
            <w:adjustRightInd/>
            <w:snapToGrid/>
            <w:spacing w:line="480" w:lineRule="auto"/>
            <w:textAlignment w:val="auto"/>
          </w:pPr>
          <w:r>
            <w:rPr>
              <w:rFonts w:hint="eastAsia" w:ascii="宋体" w:hAnsi="宋体" w:eastAsia="宋体" w:cs="宋体"/>
              <w:szCs w:val="28"/>
            </w:rPr>
            <w:fldChar w:fldCharType="end"/>
          </w:r>
        </w:p>
      </w:sdtContent>
    </w:sdt>
    <w:p>
      <w:pPr>
        <w:pStyle w:val="2"/>
        <w:bidi w:val="0"/>
        <w:rPr>
          <w:rFonts w:hint="eastAsia"/>
          <w:lang w:val="en-US" w:eastAsia="zh-CN"/>
        </w:rPr>
        <w:sectPr>
          <w:headerReference r:id="rId7" w:type="first"/>
          <w:footerReference r:id="rId9" w:type="first"/>
          <w:headerReference r:id="rId6" w:type="default"/>
          <w:footerReference r:id="rId8" w:type="default"/>
          <w:pgSz w:w="11906" w:h="16838"/>
          <w:pgMar w:top="1440" w:right="1800" w:bottom="1440" w:left="1800" w:header="851" w:footer="992" w:gutter="0"/>
          <w:pgNumType w:fmt="decimal" w:start="1"/>
          <w:cols w:space="425" w:num="1"/>
          <w:titlePg/>
          <w:docGrid w:type="lines" w:linePitch="312" w:charSpace="0"/>
        </w:sectPr>
      </w:pPr>
    </w:p>
    <w:p>
      <w:pPr>
        <w:pStyle w:val="2"/>
        <w:bidi w:val="0"/>
        <w:rPr>
          <w:rFonts w:hint="eastAsia"/>
          <w:lang w:val="en-US" w:eastAsia="zh-CN"/>
        </w:rPr>
      </w:pPr>
      <w:bookmarkStart w:id="0" w:name="_Toc21160"/>
      <w:r>
        <w:rPr>
          <w:rFonts w:hint="eastAsia"/>
          <w:lang w:val="en-US" w:eastAsia="zh-CN"/>
        </w:rPr>
        <w:t>一、部门（单位）概况</w:t>
      </w:r>
      <w:bookmarkEnd w:id="0"/>
    </w:p>
    <w:p>
      <w:pPr>
        <w:pStyle w:val="3"/>
        <w:bidi w:val="0"/>
        <w:rPr>
          <w:rFonts w:hint="eastAsia"/>
          <w:lang w:val="en-US" w:eastAsia="zh-CN"/>
        </w:rPr>
      </w:pPr>
      <w:bookmarkStart w:id="1" w:name="_Toc17882"/>
      <w:r>
        <w:rPr>
          <w:rFonts w:hint="eastAsia"/>
          <w:lang w:val="en-US" w:eastAsia="zh-CN"/>
        </w:rPr>
        <w:t>（一）部门（单位）主要职责职能，组织架构、人员及资产</w:t>
      </w:r>
      <w:bookmarkEnd w:id="1"/>
    </w:p>
    <w:p>
      <w:pPr>
        <w:pStyle w:val="3"/>
        <w:bidi w:val="0"/>
        <w:rPr>
          <w:rFonts w:hint="eastAsia"/>
          <w:lang w:val="en-US" w:eastAsia="zh-CN"/>
        </w:rPr>
      </w:pPr>
      <w:bookmarkStart w:id="2" w:name="_Toc16744"/>
      <w:r>
        <w:rPr>
          <w:rFonts w:hint="eastAsia"/>
          <w:lang w:val="en-US" w:eastAsia="zh-CN"/>
        </w:rPr>
        <w:t>等基本情况</w:t>
      </w:r>
      <w:bookmarkEnd w:id="2"/>
    </w:p>
    <w:p>
      <w:pPr>
        <w:pStyle w:val="4"/>
        <w:bidi w:val="0"/>
        <w:rPr>
          <w:rFonts w:hint="eastAsia"/>
          <w:lang w:val="en-US" w:eastAsia="zh-CN"/>
        </w:rPr>
      </w:pPr>
      <w:r>
        <w:rPr>
          <w:rFonts w:hint="eastAsia"/>
          <w:lang w:val="en-US" w:eastAsia="zh-CN"/>
        </w:rPr>
        <w:t>1.部门（单位）主要职责职能</w:t>
      </w:r>
    </w:p>
    <w:p>
      <w:pPr>
        <w:ind w:firstLine="600"/>
        <w:rPr>
          <w:rFonts w:hint="eastAsia"/>
          <w:lang w:val="en-US" w:eastAsia="zh-CN"/>
        </w:rPr>
      </w:pPr>
      <w:r>
        <w:rPr>
          <w:rFonts w:hint="eastAsia"/>
          <w:lang w:val="en-US" w:eastAsia="zh-CN"/>
        </w:rPr>
        <w:t>根据《中共东湖区委办公室关于印发&lt;东湖区妇女联合会机关主要职责和人员编制规定&gt;的通知》（</w:t>
      </w:r>
      <w:r>
        <w:rPr>
          <w:rFonts w:hint="eastAsia" w:ascii="仿宋_GB2312" w:hAnsi="黑体" w:eastAsia="仿宋_GB2312"/>
          <w:sz w:val="32"/>
          <w:szCs w:val="32"/>
        </w:rPr>
        <w:t>东办发〔</w:t>
      </w:r>
      <w:r>
        <w:rPr>
          <w:rFonts w:ascii="仿宋_GB2312" w:hAnsi="黑体" w:eastAsia="仿宋_GB2312"/>
          <w:sz w:val="32"/>
          <w:szCs w:val="32"/>
        </w:rPr>
        <w:t>20</w:t>
      </w:r>
      <w:r>
        <w:rPr>
          <w:rFonts w:hint="eastAsia" w:ascii="仿宋_GB2312" w:hAnsi="黑体"/>
          <w:sz w:val="32"/>
          <w:szCs w:val="32"/>
          <w:lang w:val="en-US" w:eastAsia="zh-CN"/>
        </w:rPr>
        <w:t>02</w:t>
      </w:r>
      <w:r>
        <w:rPr>
          <w:rFonts w:hint="eastAsia" w:ascii="仿宋_GB2312" w:hAnsi="黑体" w:eastAsia="仿宋_GB2312"/>
          <w:sz w:val="32"/>
          <w:szCs w:val="32"/>
        </w:rPr>
        <w:t>〕</w:t>
      </w:r>
      <w:r>
        <w:rPr>
          <w:rFonts w:eastAsia="仿宋_GB2312"/>
          <w:sz w:val="32"/>
          <w:szCs w:val="32"/>
        </w:rPr>
        <w:t>2</w:t>
      </w:r>
      <w:r>
        <w:rPr>
          <w:rFonts w:hint="eastAsia"/>
          <w:sz w:val="32"/>
          <w:szCs w:val="32"/>
          <w:lang w:val="en-US" w:eastAsia="zh-CN"/>
        </w:rPr>
        <w:t>1</w:t>
      </w:r>
      <w:r>
        <w:rPr>
          <w:rFonts w:hint="eastAsia" w:ascii="仿宋_GB2312" w:hAnsi="黑体" w:eastAsia="仿宋_GB2312"/>
          <w:sz w:val="32"/>
          <w:szCs w:val="32"/>
        </w:rPr>
        <w:t>号</w:t>
      </w:r>
      <w:r>
        <w:rPr>
          <w:rFonts w:hint="eastAsia"/>
          <w:lang w:val="en-US" w:eastAsia="zh-CN"/>
        </w:rPr>
        <w:t>），</w:t>
      </w:r>
      <w:r>
        <w:rPr>
          <w:rFonts w:hint="eastAsia"/>
          <w:b w:val="0"/>
          <w:bCs w:val="0"/>
          <w:lang w:val="en-US" w:eastAsia="zh-CN"/>
        </w:rPr>
        <w:t>东湖区妇女联合会，正科级建制。</w:t>
      </w:r>
      <w:r>
        <w:rPr>
          <w:rFonts w:hint="eastAsia"/>
          <w:b/>
          <w:bCs/>
        </w:rPr>
        <w:t>主要职</w:t>
      </w:r>
      <w:r>
        <w:rPr>
          <w:rFonts w:hint="eastAsia"/>
          <w:b/>
          <w:bCs/>
          <w:lang w:val="en-US" w:eastAsia="zh-CN"/>
        </w:rPr>
        <w:t>责</w:t>
      </w:r>
      <w:r>
        <w:rPr>
          <w:rFonts w:hint="eastAsia"/>
          <w:lang w:val="en-US" w:eastAsia="zh-CN"/>
        </w:rPr>
        <w:t>包括：</w:t>
      </w:r>
    </w:p>
    <w:p>
      <w:pPr>
        <w:bidi w:val="0"/>
        <w:rPr>
          <w:rFonts w:hint="eastAsia"/>
          <w:lang w:val="en-US" w:eastAsia="zh-CN"/>
        </w:rPr>
      </w:pPr>
      <w:r>
        <w:rPr>
          <w:rFonts w:hint="eastAsia"/>
          <w:lang w:val="en-US" w:eastAsia="zh-CN"/>
        </w:rPr>
        <w:t>（1）宣传马克思主义妇女观和男女平等的思想，宣传妇女</w:t>
      </w:r>
    </w:p>
    <w:p>
      <w:pPr>
        <w:bidi w:val="0"/>
        <w:ind w:left="0" w:leftChars="0" w:firstLine="0" w:firstLineChars="0"/>
        <w:rPr>
          <w:rFonts w:hint="eastAsia"/>
          <w:lang w:val="en-US" w:eastAsia="zh-CN"/>
        </w:rPr>
      </w:pPr>
      <w:r>
        <w:rPr>
          <w:rFonts w:hint="eastAsia"/>
          <w:lang w:val="en-US" w:eastAsia="zh-CN"/>
        </w:rPr>
        <w:t>工作和妇联工作；组织开展妇女思想教育工作；指导和实施“五好文明家庭”创建活动和家庭文化建设。</w:t>
      </w:r>
    </w:p>
    <w:p>
      <w:pPr>
        <w:bidi w:val="0"/>
        <w:rPr>
          <w:rFonts w:hint="eastAsia"/>
          <w:lang w:val="en-US" w:eastAsia="zh-CN"/>
        </w:rPr>
      </w:pPr>
      <w:r>
        <w:rPr>
          <w:rFonts w:hint="eastAsia"/>
          <w:lang w:val="en-US" w:eastAsia="zh-CN"/>
        </w:rPr>
        <w:t>（2）配合有关部门开展群众性的精神文明创建活动；培养、</w:t>
      </w:r>
    </w:p>
    <w:p>
      <w:pPr>
        <w:bidi w:val="0"/>
        <w:ind w:left="0" w:leftChars="0" w:firstLine="0" w:firstLineChars="0"/>
        <w:rPr>
          <w:rFonts w:hint="eastAsia"/>
          <w:lang w:val="en-US" w:eastAsia="zh-CN"/>
        </w:rPr>
      </w:pPr>
      <w:r>
        <w:rPr>
          <w:rFonts w:hint="eastAsia"/>
          <w:lang w:val="en-US" w:eastAsia="zh-CN"/>
        </w:rPr>
        <w:t>宣传各界妇女先进典型；负责区“三·八”红旗手（集体）的评选表彰和全国、省、市“三·八”红旗手（集体）的推荐、申报工作。</w:t>
      </w:r>
    </w:p>
    <w:p>
      <w:pPr>
        <w:bidi w:val="0"/>
        <w:rPr>
          <w:rFonts w:hint="eastAsia"/>
          <w:lang w:val="en-US" w:eastAsia="zh-CN"/>
        </w:rPr>
      </w:pPr>
      <w:r>
        <w:rPr>
          <w:rFonts w:hint="eastAsia"/>
          <w:lang w:val="en-US" w:eastAsia="zh-CN"/>
        </w:rPr>
        <w:t>（3）配合有关部门做好培养选拔女干部工作；负责从事妇女工作干部的培训工作；编制基层妇女组织建设规划；负责与区直各单位和各民主党派、工商联、非公有制经济、民族宗教等女性代表人士的联谊工作；负责评选、推荐表彰先进妇女组织和优秀妇女干部工作；编写妇联大事记和编辑内部刊物；负责文书档案管理和保密、统计工作；负责全会性会议的组织工作。</w:t>
      </w:r>
    </w:p>
    <w:p>
      <w:pPr>
        <w:bidi w:val="0"/>
        <w:rPr>
          <w:rFonts w:hint="eastAsia"/>
          <w:lang w:val="en-US" w:eastAsia="zh-CN"/>
        </w:rPr>
      </w:pPr>
      <w:r>
        <w:rPr>
          <w:rFonts w:hint="eastAsia"/>
          <w:lang w:val="en-US" w:eastAsia="zh-CN"/>
        </w:rPr>
        <w:t>（4）指导全区各级妇女组织开展“巾帼建功”活动；动员和组织妇女参与经济建设和社会发展，指导全区各级妇女组织开展妇女文化科技培训和职业技能培训；实施“巾帼社区服务工程”，促进妇女广泛平等就业，协助区政府实施再就业工程。</w:t>
      </w:r>
    </w:p>
    <w:p>
      <w:pPr>
        <w:bidi w:val="0"/>
        <w:rPr>
          <w:rFonts w:hint="eastAsia"/>
          <w:lang w:val="en-US" w:eastAsia="zh-CN"/>
        </w:rPr>
      </w:pPr>
      <w:r>
        <w:rPr>
          <w:rFonts w:hint="eastAsia"/>
          <w:lang w:val="en-US" w:eastAsia="zh-CN"/>
        </w:rPr>
        <w:t>（5）动员和组织妇女参与扶贫、生态环境建设，调查了解妇女劳动保护情况，督促有关部门实施《劳动法》。</w:t>
      </w:r>
    </w:p>
    <w:p>
      <w:pPr>
        <w:bidi w:val="0"/>
        <w:rPr>
          <w:rFonts w:hint="eastAsia"/>
          <w:lang w:val="en-US" w:eastAsia="zh-CN"/>
        </w:rPr>
      </w:pPr>
      <w:r>
        <w:rPr>
          <w:rFonts w:hint="eastAsia"/>
          <w:lang w:val="en-US" w:eastAsia="zh-CN"/>
        </w:rPr>
        <w:t>（6）参与有关维护妇女儿童权益的地方性法规草案的拟定并监督执行；参与普法工作，指导并推动全区各级妇女组织依法维护妇女儿童权益工作；接受妇女投诉，为受害妇女儿童提供法律援助和社会服务。</w:t>
      </w:r>
    </w:p>
    <w:p>
      <w:pPr>
        <w:bidi w:val="0"/>
        <w:rPr>
          <w:rFonts w:hint="eastAsia"/>
          <w:lang w:val="en-US" w:eastAsia="zh-CN"/>
        </w:rPr>
      </w:pPr>
      <w:r>
        <w:rPr>
          <w:rFonts w:hint="eastAsia"/>
          <w:lang w:val="en-US" w:eastAsia="zh-CN"/>
        </w:rPr>
        <w:t>（7）协助有关部门实施保护儿童的法律、法规；协调社会各界关心、文持儿童事业的发展，营造适合儿童健康成长的社会环境，组织开展有利于儿童身心健康的活动；负贵家庭教育的理论研究、培训、宣传、普及工作；做好女童教育工作，组织实施“春蕾计划”。</w:t>
      </w:r>
    </w:p>
    <w:p>
      <w:pPr>
        <w:bidi w:val="0"/>
        <w:rPr>
          <w:rFonts w:hint="eastAsia"/>
          <w:lang w:val="en-US" w:eastAsia="zh-CN"/>
        </w:rPr>
      </w:pPr>
      <w:r>
        <w:rPr>
          <w:rFonts w:hint="eastAsia"/>
          <w:lang w:val="en-US" w:eastAsia="zh-CN"/>
        </w:rPr>
        <w:t>（8）承办区委交办的其他工作。</w:t>
      </w:r>
    </w:p>
    <w:p>
      <w:pPr>
        <w:pStyle w:val="4"/>
        <w:bidi w:val="0"/>
        <w:rPr>
          <w:rFonts w:hint="eastAsia"/>
          <w:lang w:val="en-US" w:eastAsia="zh-CN"/>
        </w:rPr>
      </w:pPr>
      <w:r>
        <w:rPr>
          <w:rFonts w:hint="eastAsia"/>
          <w:lang w:val="en-US" w:eastAsia="zh-CN"/>
        </w:rPr>
        <w:t>2.部门（单位）组织架构及人员情况</w:t>
      </w:r>
    </w:p>
    <w:p>
      <w:pPr>
        <w:pStyle w:val="5"/>
        <w:bidi w:val="0"/>
        <w:rPr>
          <w:rFonts w:hint="default"/>
          <w:lang w:val="en-US" w:eastAsia="zh-CN"/>
        </w:rPr>
      </w:pPr>
      <w:r>
        <w:rPr>
          <w:rFonts w:hint="eastAsia"/>
          <w:lang w:val="en-US" w:eastAsia="zh-CN"/>
        </w:rPr>
        <w:t>（1）组织架构</w:t>
      </w:r>
    </w:p>
    <w:p>
      <w:pPr>
        <w:rPr>
          <w:rFonts w:hint="default"/>
          <w:highlight w:val="none"/>
          <w:lang w:val="en-US" w:eastAsia="zh-CN"/>
        </w:rPr>
      </w:pPr>
      <w:r>
        <w:rPr>
          <w:rFonts w:hint="eastAsia"/>
          <w:lang w:val="en-US" w:eastAsia="zh-CN"/>
        </w:rPr>
        <w:t>根据《中共东湖区委办公室关于印发&lt;东湖区妇女联合会机关主要职责和人员编制规定&gt;的通知》（东办发〔2002〕21号），区妇联无内设机构。</w:t>
      </w:r>
    </w:p>
    <w:p>
      <w:pPr>
        <w:pStyle w:val="5"/>
        <w:bidi w:val="0"/>
        <w:rPr>
          <w:rFonts w:hint="default"/>
          <w:lang w:val="en-US" w:eastAsia="zh-CN"/>
        </w:rPr>
      </w:pPr>
      <w:r>
        <w:rPr>
          <w:rFonts w:hint="eastAsia"/>
          <w:lang w:val="en-US" w:eastAsia="zh-CN"/>
        </w:rPr>
        <w:t xml:space="preserve">（2）人员情况 </w:t>
      </w:r>
    </w:p>
    <w:p>
      <w:pPr>
        <w:bidi w:val="0"/>
        <w:rPr>
          <w:rFonts w:hint="default"/>
          <w:highlight w:val="yellow"/>
          <w:lang w:val="en-US" w:eastAsia="zh-CN"/>
        </w:rPr>
      </w:pPr>
      <w:r>
        <w:rPr>
          <w:rFonts w:hint="default"/>
          <w:lang w:val="en-US" w:eastAsia="zh-CN"/>
        </w:rPr>
        <w:t>根据《中共东湖区委办公室关于印发&lt;东湖区妇女联合会机关主要职责和人员编制规定&gt;的通知》（东办发〔2002〕21号），</w:t>
      </w:r>
      <w:r>
        <w:rPr>
          <w:rFonts w:hint="eastAsia"/>
          <w:lang w:val="en-US" w:eastAsia="zh-CN"/>
        </w:rPr>
        <w:t>区妇联</w:t>
      </w:r>
      <w:r>
        <w:rPr>
          <w:rFonts w:hint="default"/>
          <w:lang w:val="en-US" w:eastAsia="zh-CN"/>
        </w:rPr>
        <w:t>机关行政编制</w:t>
      </w:r>
      <w:r>
        <w:rPr>
          <w:rFonts w:hint="eastAsia"/>
          <w:lang w:val="en-US" w:eastAsia="zh-CN"/>
        </w:rPr>
        <w:t>3</w:t>
      </w:r>
      <w:r>
        <w:rPr>
          <w:rFonts w:hint="default"/>
          <w:lang w:val="en-US" w:eastAsia="zh-CN"/>
        </w:rPr>
        <w:t>名。设</w:t>
      </w:r>
      <w:r>
        <w:rPr>
          <w:rFonts w:hint="eastAsia"/>
          <w:lang w:val="en-US" w:eastAsia="zh-CN"/>
        </w:rPr>
        <w:t>主席</w:t>
      </w:r>
      <w:r>
        <w:rPr>
          <w:rFonts w:hint="default"/>
          <w:lang w:val="en-US" w:eastAsia="zh-CN"/>
        </w:rPr>
        <w:t>1名，</w:t>
      </w:r>
      <w:r>
        <w:rPr>
          <w:rFonts w:hint="eastAsia"/>
          <w:lang w:val="en-US" w:eastAsia="zh-CN"/>
        </w:rPr>
        <w:t>副主席1</w:t>
      </w:r>
      <w:r>
        <w:rPr>
          <w:rFonts w:hint="default"/>
          <w:lang w:val="en-US" w:eastAsia="zh-CN"/>
        </w:rPr>
        <w:t>名。</w:t>
      </w:r>
      <w:r>
        <w:rPr>
          <w:rFonts w:hint="eastAsia"/>
          <w:lang w:val="en-US" w:eastAsia="zh-CN"/>
        </w:rPr>
        <w:t>实际区妇联有在职人员4名，增加了副主席1名，但并未提供编制调整文件，在职人员控制有待加强。</w:t>
      </w:r>
    </w:p>
    <w:p>
      <w:pPr>
        <w:pStyle w:val="4"/>
        <w:bidi w:val="0"/>
        <w:rPr>
          <w:rFonts w:hint="eastAsia"/>
          <w:lang w:val="en-US" w:eastAsia="zh-CN"/>
        </w:rPr>
      </w:pPr>
      <w:r>
        <w:rPr>
          <w:rFonts w:hint="eastAsia"/>
          <w:lang w:val="en-US" w:eastAsia="zh-CN"/>
        </w:rPr>
        <w:t>3.部门（单位）资产情况</w:t>
      </w:r>
    </w:p>
    <w:p>
      <w:pPr>
        <w:rPr>
          <w:rFonts w:hint="eastAsia"/>
          <w:lang w:val="en-US" w:eastAsia="zh-CN"/>
        </w:rPr>
      </w:pPr>
      <w:r>
        <w:rPr>
          <w:rFonts w:hint="eastAsia"/>
          <w:lang w:val="en-US" w:eastAsia="zh-CN"/>
        </w:rPr>
        <w:t>截至2021年12月31日，南昌市东湖区妇女联合会共有资产14.69万元，其中流动资产11.79万元，固定资产2.90万元。南昌市东湖区妇女联合会固定资产主要包含通用设备和家具、用具、装具。根据南昌市东湖区妇女联合会提供的固定资产盘点表，固定资产具体分布情况如下表所示：</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楷体" w:hAnsi="楷体" w:eastAsia="楷体" w:cs="楷体"/>
          <w:b/>
          <w:bCs/>
          <w:sz w:val="24"/>
          <w:szCs w:val="22"/>
          <w:lang w:val="en-US" w:eastAsia="zh-CN"/>
        </w:rPr>
      </w:pPr>
      <w:r>
        <w:rPr>
          <w:rFonts w:hint="eastAsia" w:ascii="楷体" w:hAnsi="楷体" w:eastAsia="楷体" w:cs="楷体"/>
          <w:b/>
          <w:bCs/>
          <w:sz w:val="24"/>
          <w:szCs w:val="22"/>
          <w:lang w:val="en-US" w:eastAsia="zh-CN"/>
        </w:rPr>
        <w:t>表1南昌市东湖区妇女联合会固定资产一览表</w:t>
      </w:r>
    </w:p>
    <w:tbl>
      <w:tblPr>
        <w:tblStyle w:val="14"/>
        <w:tblW w:w="73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656"/>
        <w:gridCol w:w="1260"/>
        <w:gridCol w:w="1575"/>
        <w:gridCol w:w="1605"/>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656" w:type="dxa"/>
            <w:tcBorders>
              <w:top w:val="single" w:color="auto" w:sz="4" w:space="0"/>
              <w:left w:val="single" w:color="auto" w:sz="4" w:space="0"/>
              <w:bottom w:val="single" w:color="auto" w:sz="4" w:space="0"/>
              <w:right w:val="single" w:color="auto" w:sz="4" w:space="0"/>
            </w:tcBorders>
            <w:shd w:val="clear" w:color="auto" w:fill="9BBB59"/>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FFFFFF"/>
                <w:sz w:val="24"/>
                <w:szCs w:val="24"/>
                <w:u w:val="none"/>
              </w:rPr>
            </w:pPr>
            <w:r>
              <w:rPr>
                <w:rFonts w:hint="eastAsia" w:ascii="楷体" w:hAnsi="楷体" w:eastAsia="楷体" w:cs="楷体"/>
                <w:i w:val="0"/>
                <w:iCs w:val="0"/>
                <w:color w:val="FFFFFF"/>
                <w:kern w:val="0"/>
                <w:sz w:val="24"/>
                <w:szCs w:val="24"/>
                <w:u w:val="none"/>
                <w:lang w:val="en-US" w:eastAsia="zh-CN" w:bidi="ar"/>
              </w:rPr>
              <w:t>资产名称</w:t>
            </w:r>
          </w:p>
        </w:tc>
        <w:tc>
          <w:tcPr>
            <w:tcW w:w="1260" w:type="dxa"/>
            <w:tcBorders>
              <w:top w:val="single" w:color="auto" w:sz="4" w:space="0"/>
              <w:left w:val="single" w:color="auto" w:sz="4" w:space="0"/>
              <w:bottom w:val="single" w:color="auto" w:sz="4" w:space="0"/>
              <w:right w:val="single" w:color="auto" w:sz="4" w:space="0"/>
            </w:tcBorders>
            <w:shd w:val="clear" w:color="auto" w:fill="9BBB59"/>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FFFFFF"/>
                <w:sz w:val="24"/>
                <w:szCs w:val="24"/>
                <w:u w:val="none"/>
              </w:rPr>
            </w:pPr>
            <w:r>
              <w:rPr>
                <w:rFonts w:hint="eastAsia" w:ascii="楷体" w:hAnsi="楷体" w:eastAsia="楷体" w:cs="楷体"/>
                <w:i w:val="0"/>
                <w:iCs w:val="0"/>
                <w:color w:val="FFFFFF"/>
                <w:kern w:val="0"/>
                <w:sz w:val="24"/>
                <w:szCs w:val="24"/>
                <w:u w:val="none"/>
                <w:lang w:val="en-US" w:eastAsia="zh-CN" w:bidi="ar"/>
              </w:rPr>
              <w:t>数量</w:t>
            </w:r>
          </w:p>
        </w:tc>
        <w:tc>
          <w:tcPr>
            <w:tcW w:w="1575" w:type="dxa"/>
            <w:tcBorders>
              <w:top w:val="single" w:color="auto" w:sz="4" w:space="0"/>
              <w:left w:val="single" w:color="auto" w:sz="4" w:space="0"/>
              <w:bottom w:val="single" w:color="auto" w:sz="4" w:space="0"/>
              <w:right w:val="single" w:color="auto" w:sz="4" w:space="0"/>
            </w:tcBorders>
            <w:shd w:val="clear" w:color="auto" w:fill="9BBB59"/>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FFFFFF"/>
                <w:sz w:val="24"/>
                <w:szCs w:val="24"/>
                <w:u w:val="none"/>
              </w:rPr>
            </w:pPr>
            <w:r>
              <w:rPr>
                <w:rFonts w:hint="eastAsia" w:ascii="楷体" w:hAnsi="楷体" w:eastAsia="楷体" w:cs="楷体"/>
                <w:i w:val="0"/>
                <w:iCs w:val="0"/>
                <w:color w:val="FFFFFF"/>
                <w:kern w:val="0"/>
                <w:sz w:val="24"/>
                <w:szCs w:val="24"/>
                <w:u w:val="none"/>
                <w:lang w:val="en-US" w:eastAsia="zh-CN" w:bidi="ar"/>
              </w:rPr>
              <w:t>原值</w:t>
            </w:r>
          </w:p>
        </w:tc>
        <w:tc>
          <w:tcPr>
            <w:tcW w:w="1605" w:type="dxa"/>
            <w:tcBorders>
              <w:top w:val="single" w:color="auto" w:sz="4" w:space="0"/>
              <w:left w:val="single" w:color="auto" w:sz="4" w:space="0"/>
              <w:bottom w:val="single" w:color="auto" w:sz="4" w:space="0"/>
              <w:right w:val="single" w:color="auto" w:sz="4" w:space="0"/>
            </w:tcBorders>
            <w:shd w:val="clear" w:color="auto" w:fill="9BBB59"/>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FFFFFF"/>
                <w:sz w:val="24"/>
                <w:szCs w:val="24"/>
                <w:u w:val="none"/>
              </w:rPr>
            </w:pPr>
            <w:r>
              <w:rPr>
                <w:rFonts w:hint="eastAsia" w:ascii="楷体" w:hAnsi="楷体" w:eastAsia="楷体" w:cs="楷体"/>
                <w:i w:val="0"/>
                <w:iCs w:val="0"/>
                <w:color w:val="FFFFFF"/>
                <w:kern w:val="0"/>
                <w:sz w:val="24"/>
                <w:szCs w:val="24"/>
                <w:u w:val="none"/>
                <w:lang w:val="en-US" w:eastAsia="zh-CN" w:bidi="ar"/>
              </w:rPr>
              <w:t>累计折旧</w:t>
            </w:r>
          </w:p>
        </w:tc>
        <w:tc>
          <w:tcPr>
            <w:tcW w:w="1290" w:type="dxa"/>
            <w:tcBorders>
              <w:top w:val="single" w:color="auto" w:sz="4" w:space="0"/>
              <w:left w:val="single" w:color="auto" w:sz="4" w:space="0"/>
              <w:bottom w:val="single" w:color="auto" w:sz="4" w:space="0"/>
              <w:right w:val="single" w:color="auto" w:sz="4" w:space="0"/>
            </w:tcBorders>
            <w:shd w:val="clear" w:color="auto" w:fill="9BBB59"/>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FFFFFF"/>
                <w:sz w:val="24"/>
                <w:szCs w:val="24"/>
                <w:u w:val="none"/>
              </w:rPr>
            </w:pPr>
            <w:r>
              <w:rPr>
                <w:rFonts w:hint="eastAsia" w:ascii="楷体" w:hAnsi="楷体" w:eastAsia="楷体" w:cs="楷体"/>
                <w:i w:val="0"/>
                <w:iCs w:val="0"/>
                <w:color w:val="FFFFFF"/>
                <w:kern w:val="0"/>
                <w:sz w:val="24"/>
                <w:szCs w:val="24"/>
                <w:u w:val="none"/>
                <w:lang w:val="en-US" w:eastAsia="zh-CN" w:bidi="ar"/>
              </w:rPr>
              <w:t>净值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55" w:hRule="atLeast"/>
          <w:jc w:val="center"/>
        </w:trPr>
        <w:tc>
          <w:tcPr>
            <w:tcW w:w="1656" w:type="dxa"/>
            <w:tcBorders>
              <w:top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便携式计算机</w:t>
            </w:r>
          </w:p>
        </w:tc>
        <w:tc>
          <w:tcPr>
            <w:tcW w:w="1260" w:type="dxa"/>
            <w:tcBorders>
              <w:top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1</w:t>
            </w:r>
          </w:p>
        </w:tc>
        <w:tc>
          <w:tcPr>
            <w:tcW w:w="1575" w:type="dxa"/>
            <w:tcBorders>
              <w:top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6500</w:t>
            </w:r>
          </w:p>
        </w:tc>
        <w:tc>
          <w:tcPr>
            <w:tcW w:w="1605" w:type="dxa"/>
            <w:tcBorders>
              <w:top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1966.84</w:t>
            </w:r>
          </w:p>
        </w:tc>
        <w:tc>
          <w:tcPr>
            <w:tcW w:w="1290" w:type="dxa"/>
            <w:tcBorders>
              <w:top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4533.16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55" w:hRule="atLeast"/>
          <w:jc w:val="center"/>
        </w:trPr>
        <w:tc>
          <w:tcPr>
            <w:tcW w:w="16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打印机</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2</w:t>
            </w:r>
          </w:p>
        </w:tc>
        <w:tc>
          <w:tcPr>
            <w:tcW w:w="15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3100</w:t>
            </w:r>
          </w:p>
        </w:tc>
        <w:tc>
          <w:tcPr>
            <w:tcW w:w="160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818.14</w:t>
            </w:r>
          </w:p>
        </w:tc>
        <w:tc>
          <w:tcPr>
            <w:tcW w:w="1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2281.86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55" w:hRule="atLeast"/>
          <w:jc w:val="center"/>
        </w:trPr>
        <w:tc>
          <w:tcPr>
            <w:tcW w:w="16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打印设备</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1</w:t>
            </w:r>
          </w:p>
        </w:tc>
        <w:tc>
          <w:tcPr>
            <w:tcW w:w="15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1050</w:t>
            </w:r>
          </w:p>
        </w:tc>
        <w:tc>
          <w:tcPr>
            <w:tcW w:w="160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845.64</w:t>
            </w:r>
          </w:p>
        </w:tc>
        <w:tc>
          <w:tcPr>
            <w:tcW w:w="1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204.36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55" w:hRule="atLeast"/>
          <w:jc w:val="center"/>
        </w:trPr>
        <w:tc>
          <w:tcPr>
            <w:tcW w:w="16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多功能一体机</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1</w:t>
            </w:r>
          </w:p>
        </w:tc>
        <w:tc>
          <w:tcPr>
            <w:tcW w:w="15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2920</w:t>
            </w:r>
          </w:p>
        </w:tc>
        <w:tc>
          <w:tcPr>
            <w:tcW w:w="160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2352.13</w:t>
            </w:r>
          </w:p>
        </w:tc>
        <w:tc>
          <w:tcPr>
            <w:tcW w:w="1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567.87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55" w:hRule="atLeast"/>
          <w:jc w:val="center"/>
        </w:trPr>
        <w:tc>
          <w:tcPr>
            <w:tcW w:w="16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其他柜</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3</w:t>
            </w:r>
          </w:p>
        </w:tc>
        <w:tc>
          <w:tcPr>
            <w:tcW w:w="15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5850</w:t>
            </w:r>
          </w:p>
        </w:tc>
        <w:tc>
          <w:tcPr>
            <w:tcW w:w="160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2371.77</w:t>
            </w:r>
          </w:p>
        </w:tc>
        <w:tc>
          <w:tcPr>
            <w:tcW w:w="1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3478.23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55" w:hRule="atLeast"/>
          <w:jc w:val="center"/>
        </w:trPr>
        <w:tc>
          <w:tcPr>
            <w:tcW w:w="16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其他家具用具</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1</w:t>
            </w:r>
          </w:p>
        </w:tc>
        <w:tc>
          <w:tcPr>
            <w:tcW w:w="15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450</w:t>
            </w:r>
          </w:p>
        </w:tc>
        <w:tc>
          <w:tcPr>
            <w:tcW w:w="160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2.5</w:t>
            </w:r>
          </w:p>
        </w:tc>
        <w:tc>
          <w:tcPr>
            <w:tcW w:w="1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447.5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55" w:hRule="atLeast"/>
          <w:jc w:val="center"/>
        </w:trPr>
        <w:tc>
          <w:tcPr>
            <w:tcW w:w="16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沙发床</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1</w:t>
            </w:r>
          </w:p>
        </w:tc>
        <w:tc>
          <w:tcPr>
            <w:tcW w:w="15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900</w:t>
            </w:r>
          </w:p>
        </w:tc>
        <w:tc>
          <w:tcPr>
            <w:tcW w:w="160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900</w:t>
            </w:r>
          </w:p>
        </w:tc>
        <w:tc>
          <w:tcPr>
            <w:tcW w:w="1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55" w:hRule="atLeast"/>
          <w:jc w:val="center"/>
        </w:trPr>
        <w:tc>
          <w:tcPr>
            <w:tcW w:w="16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沙发类</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3</w:t>
            </w:r>
          </w:p>
        </w:tc>
        <w:tc>
          <w:tcPr>
            <w:tcW w:w="15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6800</w:t>
            </w:r>
          </w:p>
        </w:tc>
        <w:tc>
          <w:tcPr>
            <w:tcW w:w="160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3005.09</w:t>
            </w:r>
          </w:p>
        </w:tc>
        <w:tc>
          <w:tcPr>
            <w:tcW w:w="1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3794.91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55" w:hRule="atLeast"/>
          <w:jc w:val="center"/>
        </w:trPr>
        <w:tc>
          <w:tcPr>
            <w:tcW w:w="16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台、桌类</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4</w:t>
            </w:r>
          </w:p>
        </w:tc>
        <w:tc>
          <w:tcPr>
            <w:tcW w:w="15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10500</w:t>
            </w:r>
          </w:p>
        </w:tc>
        <w:tc>
          <w:tcPr>
            <w:tcW w:w="160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5108.77</w:t>
            </w:r>
          </w:p>
        </w:tc>
        <w:tc>
          <w:tcPr>
            <w:tcW w:w="1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5391.23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55" w:hRule="atLeast"/>
          <w:jc w:val="center"/>
        </w:trPr>
        <w:tc>
          <w:tcPr>
            <w:tcW w:w="16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台式机</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2</w:t>
            </w:r>
          </w:p>
        </w:tc>
        <w:tc>
          <w:tcPr>
            <w:tcW w:w="15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9500</w:t>
            </w:r>
          </w:p>
        </w:tc>
        <w:tc>
          <w:tcPr>
            <w:tcW w:w="160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6820.28</w:t>
            </w:r>
          </w:p>
        </w:tc>
        <w:tc>
          <w:tcPr>
            <w:tcW w:w="1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2679.72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55" w:hRule="atLeast"/>
          <w:jc w:val="center"/>
        </w:trPr>
        <w:tc>
          <w:tcPr>
            <w:tcW w:w="16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椅凳类</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8</w:t>
            </w:r>
          </w:p>
        </w:tc>
        <w:tc>
          <w:tcPr>
            <w:tcW w:w="15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7000</w:t>
            </w:r>
          </w:p>
        </w:tc>
        <w:tc>
          <w:tcPr>
            <w:tcW w:w="160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1382.19</w:t>
            </w:r>
          </w:p>
        </w:tc>
        <w:tc>
          <w:tcPr>
            <w:tcW w:w="1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5617.81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55" w:hRule="atLeast"/>
          <w:jc w:val="center"/>
        </w:trPr>
        <w:tc>
          <w:tcPr>
            <w:tcW w:w="16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照相机及器材</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1</w:t>
            </w:r>
          </w:p>
        </w:tc>
        <w:tc>
          <w:tcPr>
            <w:tcW w:w="15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13000</w:t>
            </w:r>
          </w:p>
        </w:tc>
        <w:tc>
          <w:tcPr>
            <w:tcW w:w="160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13000</w:t>
            </w:r>
          </w:p>
        </w:tc>
        <w:tc>
          <w:tcPr>
            <w:tcW w:w="1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55" w:hRule="atLeast"/>
          <w:jc w:val="center"/>
        </w:trPr>
        <w:tc>
          <w:tcPr>
            <w:tcW w:w="16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总计</w:t>
            </w:r>
          </w:p>
        </w:tc>
        <w:tc>
          <w:tcPr>
            <w:tcW w:w="12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28</w:t>
            </w:r>
          </w:p>
        </w:tc>
        <w:tc>
          <w:tcPr>
            <w:tcW w:w="15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67570</w:t>
            </w:r>
          </w:p>
        </w:tc>
        <w:tc>
          <w:tcPr>
            <w:tcW w:w="160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38573.35</w:t>
            </w:r>
          </w:p>
        </w:tc>
        <w:tc>
          <w:tcPr>
            <w:tcW w:w="1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bottom"/>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28996.65</w:t>
            </w:r>
          </w:p>
        </w:tc>
      </w:tr>
    </w:tbl>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楷体" w:hAnsi="楷体" w:eastAsia="楷体" w:cs="楷体"/>
          <w:b/>
          <w:bCs/>
          <w:sz w:val="24"/>
          <w:szCs w:val="22"/>
          <w:lang w:val="en-US" w:eastAsia="zh-CN"/>
        </w:rPr>
      </w:pPr>
    </w:p>
    <w:p>
      <w:pPr>
        <w:bidi w:val="0"/>
        <w:rPr>
          <w:rFonts w:hint="default"/>
          <w:lang w:val="en-US" w:eastAsia="zh-CN"/>
        </w:rPr>
      </w:pPr>
      <w:r>
        <w:rPr>
          <w:rFonts w:hint="eastAsia"/>
          <w:highlight w:val="none"/>
          <w:lang w:val="en-US" w:eastAsia="zh-CN"/>
        </w:rPr>
        <w:t>上述固定资产原值为6.76万元，累计折旧3.86万元，账面净值2.90万元。根据</w:t>
      </w:r>
      <w:r>
        <w:rPr>
          <w:rFonts w:hint="eastAsia"/>
          <w:lang w:val="en-US" w:eastAsia="zh-CN"/>
        </w:rPr>
        <w:t>南昌市东湖区妇女联合会提供的资产报表盘点单中上述28件固定资产中，2件固定资产（椅凳类、台、桌类）存放在仓库，固定资产在用率92.86%。区妇联制定有资产管理制度，但该制度不太完整，对固定资产具体管理工作规定不够明确。区妇联于2021年12月按照《南昌市东湖区财政局关于印发南昌市东湖区区级行政事业单位国有资产配置使用管理暂行办法的通知》（东财字〔2021〕89号）文件要求开展了固定资产处置工作，处置了9件固定资产，并按文件要求开展了内部评估、内部评估结果公示、填写了资产处置申报审批表等，总体来看，固定资产处置工作开展较为规范，但制度建设有待加强。</w:t>
      </w:r>
    </w:p>
    <w:p>
      <w:pPr>
        <w:pStyle w:val="3"/>
        <w:bidi w:val="0"/>
        <w:rPr>
          <w:rFonts w:hint="eastAsia"/>
          <w:lang w:val="en-US" w:eastAsia="zh-CN"/>
        </w:rPr>
      </w:pPr>
      <w:bookmarkStart w:id="3" w:name="_Toc1021"/>
      <w:r>
        <w:rPr>
          <w:rFonts w:hint="eastAsia"/>
          <w:lang w:val="en-US" w:eastAsia="zh-CN"/>
        </w:rPr>
        <w:t>（二）当年部门（单位）履职总体目标、工作任务</w:t>
      </w:r>
      <w:bookmarkEnd w:id="3"/>
    </w:p>
    <w:p>
      <w:pPr>
        <w:rPr>
          <w:rFonts w:hint="eastAsia"/>
          <w:lang w:val="en-US" w:eastAsia="zh-CN"/>
        </w:rPr>
      </w:pPr>
      <w:r>
        <w:rPr>
          <w:rFonts w:hint="eastAsia"/>
          <w:lang w:val="en-US" w:eastAsia="zh-CN"/>
        </w:rPr>
        <w:t>根据《南昌南昌市东湖区妇女联合会2021年部门预算编制说明》以及南昌市东湖区妇女联合会2021年工作要点，提炼出当年度单位</w:t>
      </w:r>
      <w:r>
        <w:rPr>
          <w:rFonts w:hint="eastAsia"/>
          <w:b/>
          <w:bCs/>
          <w:lang w:val="en-US" w:eastAsia="zh-CN"/>
        </w:rPr>
        <w:t>履职总体目标</w:t>
      </w:r>
      <w:r>
        <w:rPr>
          <w:rFonts w:hint="eastAsia"/>
          <w:lang w:val="en-US" w:eastAsia="zh-CN"/>
        </w:rPr>
        <w:t>为：以习近平新时代中国特色社会主义思想为指导，全面贯彻党的十九大和十九届二中、三中、四中、五中全会精神，深入学习贯彻习近平总书记视察江西重要讲话精神和关于妇女工作的重要论述，认真落实中央、省、市、区各项工作部署，按照“彰显省会担当”更高要求，突出服务中心大局基本职责，以庆祝建党100周年为主线，扎实开展党史学习</w:t>
      </w:r>
      <w:bookmarkStart w:id="16" w:name="_GoBack"/>
      <w:bookmarkEnd w:id="16"/>
      <w:r>
        <w:rPr>
          <w:rFonts w:hint="eastAsia"/>
          <w:lang w:val="en-US" w:eastAsia="zh-CN"/>
        </w:rPr>
        <w:t>教育，大力推进家庭文明建设，服务妇女维权、发展，团结动员全区广大妇女，以更大作为彰显巾帼担当、展现巾帼风采，以优异成绩向党的百年华诞献礼。</w:t>
      </w:r>
    </w:p>
    <w:p>
      <w:pPr>
        <w:rPr>
          <w:rFonts w:hint="eastAsia"/>
          <w:b/>
          <w:bCs/>
          <w:lang w:val="en-US" w:eastAsia="zh-CN"/>
        </w:rPr>
      </w:pPr>
      <w:r>
        <w:rPr>
          <w:rFonts w:hint="eastAsia"/>
          <w:lang w:val="en-US" w:eastAsia="zh-CN"/>
        </w:rPr>
        <w:t>南昌市东湖区妇女联合会2021年度</w:t>
      </w:r>
      <w:r>
        <w:rPr>
          <w:rFonts w:hint="eastAsia"/>
          <w:b/>
          <w:bCs/>
          <w:lang w:val="en-US" w:eastAsia="zh-CN"/>
        </w:rPr>
        <w:t>主要工作任务为：</w:t>
      </w:r>
      <w:r>
        <w:rPr>
          <w:rFonts w:hint="eastAsia"/>
          <w:b w:val="0"/>
          <w:bCs w:val="0"/>
          <w:lang w:val="en-US" w:eastAsia="zh-CN"/>
        </w:rPr>
        <w:t>以建一流妇联组织、创一流妇联业绩为目标，紧密结合全区工作大局，解放思想、开拓创新、攻坚克难、真抓实干，为描绘好新时代江西改革发展新画卷的东湖篇章贡献巾帼力量。</w:t>
      </w:r>
    </w:p>
    <w:p>
      <w:pPr>
        <w:pStyle w:val="3"/>
        <w:bidi w:val="0"/>
        <w:rPr>
          <w:rFonts w:hint="eastAsia"/>
          <w:lang w:val="en-US" w:eastAsia="zh-CN"/>
        </w:rPr>
      </w:pPr>
      <w:bookmarkStart w:id="4" w:name="_Toc15984"/>
      <w:r>
        <w:rPr>
          <w:rFonts w:hint="eastAsia"/>
          <w:lang w:val="en-US" w:eastAsia="zh-CN"/>
        </w:rPr>
        <w:t>（三）当年部门（单位）年度整体支出绩效目标</w:t>
      </w:r>
      <w:bookmarkEnd w:id="4"/>
    </w:p>
    <w:p>
      <w:pPr>
        <w:rPr>
          <w:rFonts w:hint="default"/>
          <w:lang w:val="en-US" w:eastAsia="zh-CN"/>
        </w:rPr>
      </w:pPr>
      <w:r>
        <w:rPr>
          <w:rFonts w:hint="eastAsia"/>
          <w:lang w:val="en-US" w:eastAsia="zh-CN"/>
        </w:rPr>
        <w:t>根据南昌市东湖区妇女联合会《2021年度部门整体支出绩效目标申报表》，当年度部门整体支出绩效目标为：以引领、联系、服务为主责，在巩固、深化、提升、创新上下功夫。</w:t>
      </w:r>
      <w:r>
        <w:rPr>
          <w:rFonts w:hint="eastAsia"/>
          <w:b/>
          <w:bCs/>
          <w:lang w:val="en-US" w:eastAsia="zh-CN"/>
        </w:rPr>
        <w:t>一是</w:t>
      </w:r>
      <w:r>
        <w:rPr>
          <w:rFonts w:hint="eastAsia"/>
          <w:lang w:val="en-US" w:eastAsia="zh-CN"/>
        </w:rPr>
        <w:t>加强妇联基层组织建设。指导全区12个乡镇（街道）和110个村（社区）顺利完成村（社区）妇联组织换届工作。</w:t>
      </w:r>
      <w:r>
        <w:rPr>
          <w:rFonts w:hint="eastAsia"/>
          <w:b/>
          <w:bCs/>
          <w:lang w:val="en-US" w:eastAsia="zh-CN"/>
        </w:rPr>
        <w:t>二是</w:t>
      </w:r>
      <w:r>
        <w:rPr>
          <w:rFonts w:hint="eastAsia"/>
          <w:lang w:val="en-US" w:eastAsia="zh-CN"/>
        </w:rPr>
        <w:t>切实维护妇女儿童合法权益。每月15号的东湖婚姻家庭纠纷调解日暨普法宣传活动，打造“娘家人有约”维权特色服务品牌；开展“三八”妇女维权周普法宣传、实施农村“法律明白人”培养工程、采取线上+线下形式，为全区人民调解员、妇联干部、“法律明白人”骨干等传授调解方法与技巧。</w:t>
      </w:r>
      <w:r>
        <w:rPr>
          <w:rFonts w:hint="eastAsia"/>
          <w:b/>
          <w:bCs/>
          <w:lang w:val="en-US" w:eastAsia="zh-CN"/>
        </w:rPr>
        <w:t>三是</w:t>
      </w:r>
      <w:r>
        <w:rPr>
          <w:rFonts w:hint="eastAsia"/>
          <w:lang w:val="en-US" w:eastAsia="zh-CN"/>
        </w:rPr>
        <w:t>开展我们的节日主题活动。在春节、三八节、母亲节、六一儿童节、端午节、中秋节、重阳节等节日前夕，继续开展我们的节日主题活动。</w:t>
      </w:r>
      <w:r>
        <w:rPr>
          <w:rFonts w:hint="eastAsia"/>
          <w:b/>
          <w:bCs/>
          <w:lang w:val="en-US" w:eastAsia="zh-CN"/>
        </w:rPr>
        <w:t>四是</w:t>
      </w:r>
      <w:r>
        <w:rPr>
          <w:rFonts w:hint="eastAsia"/>
          <w:lang w:val="en-US" w:eastAsia="zh-CN"/>
        </w:rPr>
        <w:t>关注民生扶贫济困。依托省级妇女儿童发展专项开展12场各类讲座、6场主题宣传活动；为100名贫困妇儿发放走访物资送关爱；99公益日开展新一轮“春蕾计划”劝募活动。</w:t>
      </w:r>
      <w:r>
        <w:rPr>
          <w:rFonts w:hint="eastAsia"/>
          <w:b/>
          <w:bCs/>
          <w:lang w:val="en-US" w:eastAsia="zh-CN"/>
        </w:rPr>
        <w:t>五是</w:t>
      </w:r>
      <w:r>
        <w:rPr>
          <w:rFonts w:hint="eastAsia"/>
          <w:lang w:val="en-US" w:eastAsia="zh-CN"/>
        </w:rPr>
        <w:t>文明创建评选活动助推文明建设。评选区级层面“最美家庭”20户和“文明家庭”10户。</w:t>
      </w:r>
    </w:p>
    <w:p>
      <w:pPr>
        <w:pStyle w:val="3"/>
        <w:bidi w:val="0"/>
        <w:rPr>
          <w:rFonts w:hint="eastAsia"/>
          <w:lang w:val="en-US" w:eastAsia="zh-CN"/>
        </w:rPr>
      </w:pPr>
      <w:bookmarkStart w:id="5" w:name="_Toc25267"/>
      <w:r>
        <w:rPr>
          <w:rFonts w:hint="eastAsia"/>
          <w:lang w:val="en-US" w:eastAsia="zh-CN"/>
        </w:rPr>
        <w:t>（四）部门（单位）预算绩效管理开展情况</w:t>
      </w:r>
      <w:bookmarkEnd w:id="5"/>
    </w:p>
    <w:p>
      <w:pPr>
        <w:bidi w:val="0"/>
        <w:rPr>
          <w:rFonts w:hint="eastAsia"/>
          <w:lang w:val="en-US" w:eastAsia="zh-CN"/>
        </w:rPr>
      </w:pPr>
      <w:r>
        <w:rPr>
          <w:rFonts w:hint="eastAsia"/>
          <w:lang w:val="en-US" w:eastAsia="zh-CN"/>
        </w:rPr>
        <w:t>经查看南昌市东湖区妇女联合会提供的绩效相关工作成果性文件，发现区妇联预算绩效管理能力有待进一步提升，2021年度绩效相关工作开展情况如下：</w:t>
      </w:r>
    </w:p>
    <w:p>
      <w:pPr>
        <w:pStyle w:val="4"/>
        <w:bidi w:val="0"/>
        <w:rPr>
          <w:rFonts w:hint="eastAsia"/>
          <w:lang w:val="en-US" w:eastAsia="zh-CN"/>
        </w:rPr>
      </w:pPr>
      <w:r>
        <w:rPr>
          <w:rFonts w:hint="eastAsia"/>
          <w:lang w:val="en-US" w:eastAsia="zh-CN"/>
        </w:rPr>
        <w:t>1.绩效目标申报工作开展情况</w:t>
      </w:r>
    </w:p>
    <w:p>
      <w:pPr>
        <w:rPr>
          <w:rFonts w:hint="default"/>
          <w:lang w:val="en-US" w:eastAsia="zh-CN"/>
        </w:rPr>
      </w:pPr>
      <w:r>
        <w:rPr>
          <w:rFonts w:hint="eastAsia"/>
          <w:lang w:val="en-US" w:eastAsia="zh-CN"/>
        </w:rPr>
        <w:t>南昌市东湖区妇女联合会已填报2021年部门整体支出绩效目标表，数量指标设置总体较为规范，明确了各项工作开展的数量要求，但设置一项“其他办公事务100%”表意不明，不具备考核意义；质量指标、时效指标等设置均不够规范，质量指标仅设置“数量质量达标率”，未与数量指标一一对应，且无明确考核标准，时效指标为工作完成及时率100%，但未明确何时为及时。根据区妇联2021年度预算编制说明及项目申报登记表，区妇联2021年安排有1个项目，并已编制项目支出绩效目标申报表，明确了该项目的总体目标及年度绩效目标等，但未将绩效目标细化分解为具体的指标值，绩效目标完整性不足。</w:t>
      </w:r>
    </w:p>
    <w:p>
      <w:pPr>
        <w:pStyle w:val="4"/>
        <w:bidi w:val="0"/>
        <w:rPr>
          <w:rFonts w:hint="default"/>
          <w:lang w:val="en-US" w:eastAsia="zh-CN"/>
        </w:rPr>
      </w:pPr>
      <w:r>
        <w:rPr>
          <w:rFonts w:hint="default"/>
          <w:lang w:val="en-US" w:eastAsia="zh-CN"/>
        </w:rPr>
        <w:t>2.绩效监控工作开展情况</w:t>
      </w:r>
    </w:p>
    <w:p>
      <w:pPr>
        <w:rPr>
          <w:rFonts w:hint="default"/>
          <w:lang w:val="en-US" w:eastAsia="zh-CN"/>
        </w:rPr>
      </w:pPr>
      <w:r>
        <w:rPr>
          <w:rFonts w:hint="eastAsia"/>
          <w:lang w:val="en-US" w:eastAsia="zh-CN"/>
        </w:rPr>
        <w:t>南昌市东湖区妇女联合会</w:t>
      </w:r>
      <w:r>
        <w:rPr>
          <w:rFonts w:hint="default"/>
          <w:lang w:val="en-US" w:eastAsia="zh-CN"/>
        </w:rPr>
        <w:t>按要求开展了两次</w:t>
      </w:r>
      <w:r>
        <w:rPr>
          <w:rFonts w:hint="eastAsia"/>
          <w:lang w:val="en-US" w:eastAsia="zh-CN"/>
        </w:rPr>
        <w:t>2021</w:t>
      </w:r>
      <w:r>
        <w:rPr>
          <w:rFonts w:hint="default"/>
          <w:lang w:val="en-US" w:eastAsia="zh-CN"/>
        </w:rPr>
        <w:t>年度项目支出绩效监控工作</w:t>
      </w:r>
      <w:r>
        <w:rPr>
          <w:rFonts w:hint="eastAsia"/>
          <w:lang w:val="en-US" w:eastAsia="zh-CN"/>
        </w:rPr>
        <w:t>，对妇联事务工作经费项目进行了监控，项目执行情况分析不具体，但对项目执行过程中存在的问题，提出了对应解决措施。此外，1-7月的监控报告提纲与文件通知要求不符，1-10月的监控已进行修正。总体来看监控工作开展情况一般，通过开展监控工作，难以看出项目具体实施进度，虽面临的问题情况描述较为清楚，但两次监控的问题及解决措施完全一样，体现出监控的纠偏作用未能得到有效发挥。</w:t>
      </w:r>
    </w:p>
    <w:p>
      <w:pPr>
        <w:pStyle w:val="4"/>
        <w:bidi w:val="0"/>
        <w:rPr>
          <w:rFonts w:hint="default"/>
          <w:lang w:val="en-US" w:eastAsia="zh-CN"/>
        </w:rPr>
      </w:pPr>
      <w:r>
        <w:rPr>
          <w:rFonts w:hint="eastAsia"/>
          <w:lang w:val="en-US" w:eastAsia="zh-CN"/>
        </w:rPr>
        <w:t>3.绩效评价工作开展情况</w:t>
      </w:r>
    </w:p>
    <w:p>
      <w:pPr>
        <w:bidi w:val="0"/>
        <w:rPr>
          <w:rFonts w:hint="eastAsia"/>
          <w:highlight w:val="yellow"/>
          <w:lang w:val="en-US" w:eastAsia="zh-CN"/>
        </w:rPr>
      </w:pPr>
      <w:r>
        <w:rPr>
          <w:rFonts w:hint="eastAsia"/>
          <w:lang w:val="en-US" w:eastAsia="zh-CN"/>
        </w:rPr>
        <w:t>南昌市东湖区妇女联合会按区财政局2021年度相关文件要求开展了2020年度项目及部门整体支出绩效评价工作，并按要求于2021年7月22日在东湖区政府网站进行了项目支出绩效评价报告公开。经查看上述绩效评价报告内容，项目支出绩效评价报告撰写较为简略，虽然总体分析完成了项目组织管理情况及项目绩效实现情况，并分析了项目执行过程中存在的问题，给出了相关改进措施，但问题分析并未针对项目开展，而是提出了绩效评价能力有待提升的问题，项目支出绩效评价结果可应用性不强；</w:t>
      </w:r>
      <w:r>
        <w:rPr>
          <w:rFonts w:hint="eastAsia"/>
          <w:highlight w:val="none"/>
          <w:lang w:val="en-US" w:eastAsia="zh-CN"/>
        </w:rPr>
        <w:t>部门整体支出绩效评价报告总结了单位基础情况以及当年度履职工作完成情况，但质量指标未与数量指标相对应，具体指标设置规范性有待提升（规范性问题表现与部门整体支出绩效目标相同，故不再举例说明）。</w:t>
      </w:r>
    </w:p>
    <w:p>
      <w:pPr>
        <w:pStyle w:val="3"/>
        <w:bidi w:val="0"/>
        <w:rPr>
          <w:rFonts w:hint="eastAsia"/>
          <w:lang w:val="en-US" w:eastAsia="zh-CN"/>
        </w:rPr>
      </w:pPr>
      <w:bookmarkStart w:id="6" w:name="_Toc11395"/>
      <w:r>
        <w:rPr>
          <w:rFonts w:hint="eastAsia"/>
          <w:lang w:val="en-US" w:eastAsia="zh-CN"/>
        </w:rPr>
        <w:t>（五）当年部门（单位）预算及执行情况</w:t>
      </w:r>
      <w:bookmarkEnd w:id="6"/>
    </w:p>
    <w:p>
      <w:pPr>
        <w:rPr>
          <w:rFonts w:hint="eastAsia"/>
          <w:color w:val="auto"/>
          <w:highlight w:val="none"/>
          <w:lang w:val="en-US" w:eastAsia="zh-CN"/>
        </w:rPr>
      </w:pPr>
      <w:r>
        <w:rPr>
          <w:rFonts w:hint="eastAsia"/>
          <w:color w:val="auto"/>
          <w:highlight w:val="none"/>
          <w:lang w:val="en-US" w:eastAsia="zh-CN"/>
        </w:rPr>
        <w:t>南昌市东湖区妇女联合会2021年年初预算收入合计86.81万元，均为当年度一般公共预算财政拨款收入；预算支出合计86.81万元，均为基本支出。</w:t>
      </w:r>
    </w:p>
    <w:p>
      <w:pPr>
        <w:rPr>
          <w:rFonts w:hint="default"/>
          <w:color w:val="auto"/>
          <w:highlight w:val="none"/>
          <w:lang w:val="en-US" w:eastAsia="zh-CN"/>
        </w:rPr>
      </w:pPr>
      <w:r>
        <w:rPr>
          <w:rFonts w:hint="eastAsia"/>
          <w:color w:val="auto"/>
          <w:highlight w:val="none"/>
          <w:lang w:val="en-US" w:eastAsia="zh-CN"/>
        </w:rPr>
        <w:t>2021年调整预算收入合计105.54万元，其中当年度一般公共预算财政拨款收入96.56万元，年初结转和结余8.98万元；调整预算支出合计105.54万元，均为基本支出。</w:t>
      </w:r>
    </w:p>
    <w:p>
      <w:pPr>
        <w:bidi w:val="0"/>
        <w:rPr>
          <w:rFonts w:hint="eastAsia"/>
          <w:color w:val="auto"/>
          <w:highlight w:val="none"/>
          <w:lang w:val="en-US" w:eastAsia="zh-CN"/>
        </w:rPr>
      </w:pPr>
      <w:r>
        <w:rPr>
          <w:rFonts w:hint="eastAsia"/>
          <w:color w:val="auto"/>
          <w:highlight w:val="none"/>
          <w:lang w:val="en-US" w:eastAsia="zh-CN"/>
        </w:rPr>
        <w:t>2021年度决算收入总计106.81万元，其中当年度一般公共预算财政拨款收入96.56万元，其他收入1.26万元，年初结转和结余8.98万元；决算支出总计106.81万元，其中：基本支出105.54万元，年末结转和结余1.07万元。</w:t>
      </w:r>
    </w:p>
    <w:p>
      <w:pPr>
        <w:bidi w:val="0"/>
        <w:rPr>
          <w:rFonts w:hint="default"/>
          <w:lang w:val="en-US" w:eastAsia="zh-CN"/>
        </w:rPr>
      </w:pPr>
      <w:r>
        <w:rPr>
          <w:rFonts w:hint="eastAsia"/>
          <w:color w:val="auto"/>
          <w:highlight w:val="none"/>
          <w:lang w:val="en-US" w:eastAsia="zh-CN"/>
        </w:rPr>
        <w:t>上述数据基于南昌市东湖区妇女联合会提供的2021年度本级收入支出决算总表（Z01）填列，但根据区妇联2021年度预算指标下达通知书、2021年项目登记表、以及会计凭证，均可知2021年区妇联安排有妇联事务工作经费项目支出，但在决算报表中并未体现，而是全部体现在基本支出中；截至2021年12月31日，区妇联实有在职人员4名，但决算报表基本数字表（F02）在在职人数为3人；根据区妇联2021年度部门预算编制说明，2021年区妇联安排三公经费预算0.5万元，但决算报表一般公共预算财政拨款“三公”经费支出决算表（CA07）中年初预算书及决算数均未填写。因此南昌市东湖区妇女联合会预决算报表未能真实反映单位经济信息，且编制完整性有待提升。</w:t>
      </w:r>
    </w:p>
    <w:p>
      <w:pPr>
        <w:pStyle w:val="2"/>
        <w:bidi w:val="0"/>
        <w:rPr>
          <w:rFonts w:hint="eastAsia"/>
          <w:lang w:val="en-US" w:eastAsia="zh-CN"/>
        </w:rPr>
      </w:pPr>
      <w:bookmarkStart w:id="7" w:name="_Toc22270"/>
      <w:r>
        <w:rPr>
          <w:rFonts w:hint="eastAsia"/>
          <w:lang w:val="en-US" w:eastAsia="zh-CN"/>
        </w:rPr>
        <w:t>二、部门（单位）整体支出绩效实现情况</w:t>
      </w:r>
      <w:bookmarkEnd w:id="7"/>
    </w:p>
    <w:p>
      <w:pPr>
        <w:pStyle w:val="3"/>
        <w:bidi w:val="0"/>
        <w:rPr>
          <w:rFonts w:hint="eastAsia"/>
          <w:lang w:val="en-US" w:eastAsia="zh-CN"/>
        </w:rPr>
      </w:pPr>
      <w:bookmarkStart w:id="8" w:name="_Toc31932"/>
      <w:r>
        <w:rPr>
          <w:rFonts w:hint="eastAsia"/>
          <w:lang w:val="en-US" w:eastAsia="zh-CN"/>
        </w:rPr>
        <w:t>（一）履职完成情况</w:t>
      </w:r>
      <w:bookmarkEnd w:id="8"/>
    </w:p>
    <w:p>
      <w:pPr>
        <w:pStyle w:val="4"/>
        <w:bidi w:val="0"/>
        <w:rPr>
          <w:rFonts w:hint="eastAsia"/>
          <w:lang w:val="en-US" w:eastAsia="zh-CN"/>
        </w:rPr>
      </w:pPr>
      <w:r>
        <w:rPr>
          <w:rFonts w:hint="eastAsia"/>
          <w:lang w:val="en-US" w:eastAsia="zh-CN"/>
        </w:rPr>
        <w:t>1.数量方面</w:t>
      </w:r>
    </w:p>
    <w:p>
      <w:pPr>
        <w:pStyle w:val="5"/>
        <w:bidi w:val="0"/>
        <w:rPr>
          <w:rFonts w:hint="eastAsia"/>
          <w:lang w:val="en-US" w:eastAsia="zh-CN"/>
        </w:rPr>
      </w:pPr>
      <w:r>
        <w:rPr>
          <w:rFonts w:hint="eastAsia"/>
          <w:lang w:val="en-US" w:eastAsia="zh-CN"/>
        </w:rPr>
        <w:t>（1）思想引领工作开展完成率</w:t>
      </w:r>
    </w:p>
    <w:p>
      <w:pPr>
        <w:bidi w:val="0"/>
        <w:rPr>
          <w:rFonts w:hint="eastAsia"/>
          <w:lang w:val="en-US" w:eastAsia="zh-CN"/>
        </w:rPr>
      </w:pPr>
      <w:r>
        <w:rPr>
          <w:rFonts w:hint="eastAsia"/>
          <w:lang w:val="en-US" w:eastAsia="zh-CN"/>
        </w:rPr>
        <w:t>区妇联2021年工作要点中提出要抓庆祝活动，增强思想认同。具体工作事项包括开展①“永远跟党走”群众性宣传教育活动、②“赣鄱巾帼心向党 扬帆奋进新征程”主题宣讲活动、③“党在我心中”家庭主题活动。</w:t>
      </w:r>
    </w:p>
    <w:p>
      <w:pPr>
        <w:bidi w:val="0"/>
        <w:rPr>
          <w:rFonts w:hint="eastAsia"/>
          <w:lang w:val="en-US" w:eastAsia="zh-CN"/>
        </w:rPr>
      </w:pPr>
      <w:r>
        <w:rPr>
          <w:rFonts w:hint="eastAsia"/>
          <w:lang w:val="en-US" w:eastAsia="zh-CN"/>
        </w:rPr>
        <w:t>实际2021年区妇联已开展上述工作，其中2021年4月区妇联召开党史专题集中学习研讨会，专题学习研讨党史、传承红色基因、牢记初心使命，从党的百年伟大奋斗历程中汲取继续前进的智慧和力量；5月联合东湖区教体局和董家窑街道杏苑社区党委在南昌市南京路小学开展“学党史，润童心，争做时代小先锋——我与重走长征路的故事”主题宣讲活动；7月13日，区妇联在永和村新时代文明实践站开展“党在我心中”亲子阅读活动；同日，南昌市妇联联合区妇联在董家窑街道南京西路南社区举办了“巾帼心向党 奋斗新征程”——赣鄱娘子军主题宣讲活动；9月8日，东湖区妇联联合二七北路社区举办红色精神小故事分享会，勉励大家要继承红色精神，弘扬红色精神，光大红色精神。</w:t>
      </w:r>
    </w:p>
    <w:p>
      <w:pPr>
        <w:bidi w:val="0"/>
        <w:rPr>
          <w:rFonts w:hint="default"/>
          <w:lang w:val="en-US" w:eastAsia="zh-CN"/>
        </w:rPr>
      </w:pPr>
      <w:r>
        <w:rPr>
          <w:rFonts w:hint="eastAsia"/>
          <w:lang w:val="en-US" w:eastAsia="zh-CN"/>
        </w:rPr>
        <w:t>综上，区妇联2021年度工作要点中提到的各项思想引领工作均已完成，思想引领工作开展完成率100%。</w:t>
      </w:r>
    </w:p>
    <w:p>
      <w:pPr>
        <w:pStyle w:val="5"/>
        <w:bidi w:val="0"/>
        <w:rPr>
          <w:rFonts w:hint="eastAsia"/>
          <w:lang w:val="en-US" w:eastAsia="zh-CN"/>
        </w:rPr>
      </w:pPr>
      <w:r>
        <w:rPr>
          <w:rFonts w:hint="eastAsia"/>
          <w:lang w:val="en-US" w:eastAsia="zh-CN"/>
        </w:rPr>
        <w:t>（2）示范引领工作开展完成率</w:t>
      </w:r>
    </w:p>
    <w:p>
      <w:pPr>
        <w:bidi w:val="0"/>
        <w:rPr>
          <w:rFonts w:hint="eastAsia"/>
          <w:lang w:val="en-US" w:eastAsia="zh-CN"/>
        </w:rPr>
      </w:pPr>
      <w:r>
        <w:rPr>
          <w:rFonts w:hint="default"/>
          <w:lang w:val="en-US" w:eastAsia="zh-CN"/>
        </w:rPr>
        <w:t>区妇联2021年工作要点中提出要抓示范引领，营造良好氛围。具体工作事项包括开展①三八红旗手、②巾帼建功标兵、③巾帼建功文明岗、④最美家庭、⑤文明家庭评比活动</w:t>
      </w:r>
      <w:r>
        <w:rPr>
          <w:rFonts w:hint="eastAsia"/>
          <w:lang w:val="en-US" w:eastAsia="zh-CN"/>
        </w:rPr>
        <w:t>。</w:t>
      </w:r>
    </w:p>
    <w:p>
      <w:pPr>
        <w:bidi w:val="0"/>
        <w:rPr>
          <w:rFonts w:hint="default"/>
          <w:lang w:val="en-US" w:eastAsia="zh-CN"/>
        </w:rPr>
      </w:pPr>
      <w:r>
        <w:rPr>
          <w:rFonts w:hint="eastAsia"/>
          <w:lang w:val="en-US" w:eastAsia="zh-CN"/>
        </w:rPr>
        <w:t>实际上述评选工作已完成。为全面贯彻落实习近平新时代中国特色社会主义思想和党的十九届五中全会精神，深入挖掘奋斗在全区各行各业、各条战线的优秀妇女，选树榜样，充分发挥先进典型的示范带动作用，激励全区广大妇女立足岗位做贡献，爱岗建功创佳绩，区妇联决定授予陈珊等11名同志东湖区三八红旗手荣誉称号；授予熊玉娇等11名同志东湖区巾帼建功标兵荣誉称号；授予东湖区墩子塘街道阳明社区等10个单位东湖区三八红旗集体荣誉称号；授予东湖区扬子洲镇妇联等10个单位东湖区巾帼文明岗荣誉称号。为进一步推进我市“兴家风、淳民风、正社风”工作，弘扬勤俭节约、诚实守信、助人为乐、敬老爱老的传统美德，全力培育有梦想、有担当、有本领的时代新人，区妇联印发了《关于做好2020年度东湖区“最美家庭”、“文明家庭”推选工作的通知》（东妇发〔2021〕3号）文件，拟推选2020年度南昌市“最美家庭”、“文明家庭”。经推荐审核后，区妇联决定授予熊木桂家庭等 20 户东湖区最美家庭称号；授予喻志勇家庭等 10 户东湖区文明家庭称号。示范引领工作开展完成率100%。</w:t>
      </w:r>
    </w:p>
    <w:p>
      <w:pPr>
        <w:pStyle w:val="5"/>
        <w:bidi w:val="0"/>
        <w:rPr>
          <w:rFonts w:hint="eastAsia"/>
          <w:lang w:val="en-US" w:eastAsia="zh-CN"/>
        </w:rPr>
      </w:pPr>
      <w:r>
        <w:rPr>
          <w:rFonts w:hint="eastAsia"/>
          <w:lang w:val="en-US" w:eastAsia="zh-CN"/>
        </w:rPr>
        <w:t>（3）绿色生活工作开展完成率</w:t>
      </w:r>
    </w:p>
    <w:p>
      <w:pPr>
        <w:rPr>
          <w:rFonts w:hint="default"/>
          <w:lang w:val="en-US" w:eastAsia="zh-CN"/>
        </w:rPr>
      </w:pPr>
      <w:r>
        <w:rPr>
          <w:rFonts w:hint="default"/>
          <w:lang w:val="en-US" w:eastAsia="zh-CN"/>
        </w:rPr>
        <w:t>区妇联2021年工作要点中提出要落实为民行动，推进文明新风。具体工作事项包括开展</w:t>
      </w:r>
      <w:r>
        <w:rPr>
          <w:rFonts w:hint="eastAsia"/>
          <w:lang w:val="en-US" w:eastAsia="zh-CN"/>
        </w:rPr>
        <w:t>①“</w:t>
      </w:r>
      <w:r>
        <w:rPr>
          <w:rFonts w:hint="default"/>
          <w:lang w:val="en-US" w:eastAsia="zh-CN"/>
        </w:rPr>
        <w:t>绿色生活</w:t>
      </w:r>
      <w:r>
        <w:rPr>
          <w:rFonts w:hint="eastAsia"/>
          <w:lang w:val="en-US" w:eastAsia="zh-CN"/>
        </w:rPr>
        <w:t>”</w:t>
      </w:r>
      <w:r>
        <w:rPr>
          <w:rFonts w:hint="default"/>
          <w:lang w:val="en-US" w:eastAsia="zh-CN"/>
        </w:rPr>
        <w:t>主题活动</w:t>
      </w:r>
      <w:r>
        <w:rPr>
          <w:rFonts w:hint="eastAsia"/>
          <w:lang w:val="en-US" w:eastAsia="zh-CN"/>
        </w:rPr>
        <w:t>②</w:t>
      </w:r>
      <w:r>
        <w:rPr>
          <w:rFonts w:hint="default"/>
          <w:lang w:val="en-US" w:eastAsia="zh-CN"/>
        </w:rPr>
        <w:t>园艺知识培训、</w:t>
      </w:r>
      <w:r>
        <w:rPr>
          <w:rFonts w:hint="eastAsia"/>
          <w:lang w:val="en-US" w:eastAsia="zh-CN"/>
        </w:rPr>
        <w:t>③</w:t>
      </w:r>
      <w:r>
        <w:rPr>
          <w:rFonts w:hint="default"/>
          <w:lang w:val="en-US" w:eastAsia="zh-CN"/>
        </w:rPr>
        <w:t>绿色生活分享、</w:t>
      </w:r>
      <w:r>
        <w:rPr>
          <w:rFonts w:hint="eastAsia"/>
          <w:lang w:val="en-US" w:eastAsia="zh-CN"/>
        </w:rPr>
        <w:t>④“</w:t>
      </w:r>
      <w:r>
        <w:rPr>
          <w:rFonts w:hint="default"/>
          <w:lang w:val="en-US" w:eastAsia="zh-CN"/>
        </w:rPr>
        <w:t>绿色小课堂</w:t>
      </w:r>
      <w:r>
        <w:rPr>
          <w:rFonts w:hint="eastAsia"/>
          <w:lang w:val="en-US" w:eastAsia="zh-CN"/>
        </w:rPr>
        <w:t>”</w:t>
      </w:r>
      <w:r>
        <w:rPr>
          <w:rFonts w:hint="default"/>
          <w:lang w:val="en-US" w:eastAsia="zh-CN"/>
        </w:rPr>
        <w:t>环保知识讲座、</w:t>
      </w:r>
      <w:r>
        <w:rPr>
          <w:rFonts w:hint="eastAsia"/>
          <w:lang w:val="en-US" w:eastAsia="zh-CN"/>
        </w:rPr>
        <w:t>⑤</w:t>
      </w:r>
      <w:r>
        <w:rPr>
          <w:rFonts w:hint="default"/>
          <w:lang w:val="en-US" w:eastAsia="zh-CN"/>
        </w:rPr>
        <w:t>旧物改造活动。</w:t>
      </w:r>
    </w:p>
    <w:p>
      <w:pPr>
        <w:rPr>
          <w:rFonts w:hint="eastAsia"/>
          <w:lang w:val="en-US" w:eastAsia="zh-CN"/>
        </w:rPr>
      </w:pPr>
      <w:r>
        <w:rPr>
          <w:rFonts w:hint="eastAsia"/>
          <w:lang w:val="en-US" w:eastAsia="zh-CN"/>
        </w:rPr>
        <w:t>①“绿色生活”主题活动体现在“清洁家庭”评比活动中。2021年为引导全区家庭自觉营造绿色清洁、美丽和谐的人居环境，树立健康、清洁的家庭生活新理念，践行简约适度、文明健康的生活方式，东湖区妇联决定授予熊及根等60户家庭2021年度东湖区“清洁家庭”荣誉称号。</w:t>
      </w:r>
    </w:p>
    <w:p>
      <w:pPr>
        <w:rPr>
          <w:rFonts w:hint="eastAsia"/>
          <w:lang w:val="en-US" w:eastAsia="zh-CN"/>
        </w:rPr>
      </w:pPr>
      <w:r>
        <w:rPr>
          <w:rFonts w:hint="eastAsia"/>
          <w:lang w:val="en-US" w:eastAsia="zh-CN"/>
        </w:rPr>
        <w:t>②园艺知识培训：3月17日东湖区女领导干部联谊会组织部分女领导干部开展盆景制作活动，进一步提升了女领导干部生活素养。</w:t>
      </w:r>
    </w:p>
    <w:p>
      <w:pPr>
        <w:rPr>
          <w:rFonts w:hint="default"/>
          <w:lang w:val="en-US" w:eastAsia="zh-CN"/>
        </w:rPr>
      </w:pPr>
      <w:r>
        <w:rPr>
          <w:rFonts w:hint="eastAsia"/>
          <w:lang w:val="en-US" w:eastAsia="zh-CN"/>
        </w:rPr>
        <w:t>④“绿色小课堂”环保知识讲座：</w:t>
      </w:r>
      <w:r>
        <w:rPr>
          <w:rFonts w:hint="default"/>
          <w:lang w:val="en-US" w:eastAsia="zh-CN"/>
        </w:rPr>
        <w:t>区妇联于2021年2月24日下午在彭家桥街道福州路北社区开展了“美丽南昌，我们是行动者”垃圾分类为主题的宣传讲座。活动主要请来了社区的居民积极参与，尤其是发动广大妇女作为城市垃圾分类的宣传者和推动者，努力将垃圾分类融入到日常生活中。</w:t>
      </w:r>
    </w:p>
    <w:p>
      <w:pPr>
        <w:rPr>
          <w:rFonts w:hint="default"/>
          <w:lang w:val="en-US" w:eastAsia="zh-CN"/>
        </w:rPr>
      </w:pPr>
      <w:r>
        <w:rPr>
          <w:rFonts w:hint="eastAsia"/>
          <w:lang w:val="en-US" w:eastAsia="zh-CN"/>
        </w:rPr>
        <w:t>⑤</w:t>
      </w:r>
      <w:r>
        <w:rPr>
          <w:rFonts w:hint="default"/>
          <w:lang w:val="en-US" w:eastAsia="zh-CN"/>
        </w:rPr>
        <w:t>旧物改造活动</w:t>
      </w:r>
      <w:r>
        <w:rPr>
          <w:rFonts w:hint="eastAsia"/>
          <w:lang w:val="en-US" w:eastAsia="zh-CN"/>
        </w:rPr>
        <w:t>实际未组织开展。</w:t>
      </w:r>
    </w:p>
    <w:p>
      <w:pPr>
        <w:rPr>
          <w:rFonts w:hint="default"/>
          <w:lang w:val="en-US" w:eastAsia="zh-CN"/>
        </w:rPr>
      </w:pPr>
      <w:r>
        <w:rPr>
          <w:rFonts w:hint="eastAsia"/>
          <w:lang w:val="en-US" w:eastAsia="zh-CN"/>
        </w:rPr>
        <w:t>综上，</w:t>
      </w:r>
      <w:r>
        <w:rPr>
          <w:rFonts w:hint="default"/>
          <w:lang w:val="en-US" w:eastAsia="zh-CN"/>
        </w:rPr>
        <w:t>绿色生活工作开展完成率</w:t>
      </w:r>
      <w:r>
        <w:rPr>
          <w:rFonts w:hint="eastAsia"/>
          <w:lang w:val="en-US" w:eastAsia="zh-CN"/>
        </w:rPr>
        <w:t>80%。</w:t>
      </w:r>
    </w:p>
    <w:p>
      <w:pPr>
        <w:pStyle w:val="5"/>
        <w:bidi w:val="0"/>
        <w:rPr>
          <w:rFonts w:hint="eastAsia"/>
          <w:lang w:val="en-US" w:eastAsia="zh-CN"/>
        </w:rPr>
      </w:pPr>
      <w:r>
        <w:rPr>
          <w:rFonts w:hint="eastAsia"/>
          <w:lang w:val="en-US" w:eastAsia="zh-CN"/>
        </w:rPr>
        <w:t>（4）家政培训提升行动开展完成率</w:t>
      </w:r>
    </w:p>
    <w:p>
      <w:pPr>
        <w:rPr>
          <w:rFonts w:hint="default"/>
          <w:lang w:val="en-US" w:eastAsia="zh-CN"/>
        </w:rPr>
      </w:pPr>
      <w:r>
        <w:rPr>
          <w:rFonts w:hint="default"/>
          <w:lang w:val="en-US" w:eastAsia="zh-CN"/>
        </w:rPr>
        <w:t>区妇联2021年工作要点中提出要宣传落实妇女创新创业工作，实施</w:t>
      </w:r>
      <w:r>
        <w:rPr>
          <w:rFonts w:hint="eastAsia"/>
          <w:lang w:val="en-US" w:eastAsia="zh-CN"/>
        </w:rPr>
        <w:t>“</w:t>
      </w:r>
      <w:r>
        <w:rPr>
          <w:rFonts w:hint="default"/>
          <w:lang w:val="en-US" w:eastAsia="zh-CN"/>
        </w:rPr>
        <w:t>家政培训提升行动</w:t>
      </w:r>
      <w:r>
        <w:rPr>
          <w:rFonts w:hint="eastAsia"/>
          <w:lang w:val="en-US" w:eastAsia="zh-CN"/>
        </w:rPr>
        <w:t>”</w:t>
      </w:r>
      <w:r>
        <w:rPr>
          <w:rFonts w:hint="default"/>
          <w:lang w:val="en-US" w:eastAsia="zh-CN"/>
        </w:rPr>
        <w:t>，举办家政服务技能培训，帮助更多妇女在家政领域实现就业增收。为提高家庭服务业从业人员职业技能水平，发挥家庭服务业促进就业和稳定就业的作用，进一步促进妇女群体就业创业，3月2日，东湖区妇联联合南昌市倍邦培训学校开设了为期15天的家庭服务业技能培训，为失业妇女和农村妇女提供更多工作岗位就近就业，实现脱贫增收，以高品质教学培育巾帼家政人才。家政培训提升行动开展完成率</w:t>
      </w:r>
      <w:r>
        <w:rPr>
          <w:rFonts w:hint="eastAsia"/>
          <w:lang w:val="en-US" w:eastAsia="zh-CN"/>
        </w:rPr>
        <w:t>100%。</w:t>
      </w:r>
    </w:p>
    <w:p>
      <w:pPr>
        <w:pStyle w:val="5"/>
        <w:bidi w:val="0"/>
        <w:rPr>
          <w:rFonts w:hint="eastAsia"/>
          <w:lang w:val="en-US" w:eastAsia="zh-CN"/>
        </w:rPr>
      </w:pPr>
      <w:r>
        <w:rPr>
          <w:rFonts w:hint="eastAsia"/>
          <w:lang w:val="en-US" w:eastAsia="zh-CN"/>
        </w:rPr>
        <w:t>（5）民生项目开展完成率</w:t>
      </w:r>
    </w:p>
    <w:p>
      <w:pPr>
        <w:rPr>
          <w:rFonts w:hint="eastAsia"/>
          <w:lang w:val="en-US" w:eastAsia="zh-CN"/>
        </w:rPr>
      </w:pPr>
      <w:r>
        <w:rPr>
          <w:rFonts w:hint="default"/>
          <w:lang w:val="en-US" w:eastAsia="zh-CN"/>
        </w:rPr>
        <w:t>区妇联2021年工作要点中提出要推动民生项目，温暖困境人群。具体工作事项包括开展①</w:t>
      </w:r>
      <w:r>
        <w:rPr>
          <w:rFonts w:hint="eastAsia"/>
          <w:lang w:val="en-US" w:eastAsia="zh-CN"/>
        </w:rPr>
        <w:t>“</w:t>
      </w:r>
      <w:r>
        <w:rPr>
          <w:rFonts w:hint="default"/>
          <w:lang w:val="en-US" w:eastAsia="zh-CN"/>
        </w:rPr>
        <w:t>两癌</w:t>
      </w:r>
      <w:r>
        <w:rPr>
          <w:rFonts w:hint="eastAsia"/>
          <w:lang w:val="en-US" w:eastAsia="zh-CN"/>
        </w:rPr>
        <w:t>”</w:t>
      </w:r>
      <w:r>
        <w:rPr>
          <w:rFonts w:hint="default"/>
          <w:lang w:val="en-US" w:eastAsia="zh-CN"/>
        </w:rPr>
        <w:t>免费检查和救助、②困境儿童救助、③</w:t>
      </w:r>
      <w:r>
        <w:rPr>
          <w:rFonts w:hint="eastAsia"/>
          <w:lang w:val="en-US" w:eastAsia="zh-CN"/>
        </w:rPr>
        <w:t>“</w:t>
      </w:r>
      <w:r>
        <w:rPr>
          <w:rFonts w:hint="default"/>
          <w:lang w:val="en-US" w:eastAsia="zh-CN"/>
        </w:rPr>
        <w:t>阳光心家园</w:t>
      </w:r>
      <w:r>
        <w:rPr>
          <w:rFonts w:hint="eastAsia"/>
          <w:lang w:val="en-US" w:eastAsia="zh-CN"/>
        </w:rPr>
        <w:t>”</w:t>
      </w:r>
      <w:r>
        <w:rPr>
          <w:rFonts w:hint="default"/>
          <w:lang w:val="en-US" w:eastAsia="zh-CN"/>
        </w:rPr>
        <w:t>等民生项目</w:t>
      </w:r>
      <w:r>
        <w:rPr>
          <w:rFonts w:hint="eastAsia"/>
          <w:lang w:val="en-US" w:eastAsia="zh-CN"/>
        </w:rPr>
        <w:t>。</w:t>
      </w:r>
    </w:p>
    <w:p>
      <w:pPr>
        <w:rPr>
          <w:rFonts w:hint="default"/>
          <w:lang w:val="en-US" w:eastAsia="zh-CN"/>
        </w:rPr>
      </w:pPr>
      <w:r>
        <w:rPr>
          <w:rFonts w:hint="eastAsia"/>
          <w:lang w:val="en-US" w:eastAsia="zh-CN"/>
        </w:rPr>
        <w:t>①“两癌”免费检查和救助：两癌免费检查和救助因省市里未下放名额，故未开展。但2021年5月15日，为了进一步践行“我为群众办实事”活动，提高东湖广大妇女的健康水平，加强妇女的自我保健意识，区妇联在百花洲街道渊明北路社区组织女同胞们开展了心血管疾病筛查体检。</w:t>
      </w:r>
    </w:p>
    <w:p>
      <w:pPr>
        <w:rPr>
          <w:rFonts w:hint="eastAsia"/>
          <w:lang w:val="en-US" w:eastAsia="zh-CN"/>
        </w:rPr>
      </w:pPr>
      <w:r>
        <w:rPr>
          <w:rFonts w:hint="eastAsia"/>
          <w:lang w:val="en-US" w:eastAsia="zh-CN"/>
        </w:rPr>
        <w:t>②贫困儿童救助：春节来临之际，区妇联走访慰问了扬农管理处的2户贫困家庭，为她们送去了温暖与新春的祝福，分别给她们送上腐竹、香菇、木耳等慰问品，区妇联主席与贫困妇女儿童进行亲切交谈，详细了解他们的生活和学习情况，给她们传递积极阳光的正能量，鼓励妇女要坚强积极面对生活，鼓励儿童要好好成长。10月13日，东湖区妇联联合百花洲街道桂旺巷社区以关爱、帮助留守儿童为宗旨，开展关爱辖区留守儿童活动。</w:t>
      </w:r>
    </w:p>
    <w:p>
      <w:pPr>
        <w:rPr>
          <w:rFonts w:hint="default"/>
          <w:lang w:val="en-US" w:eastAsia="zh-CN"/>
        </w:rPr>
      </w:pPr>
      <w:r>
        <w:rPr>
          <w:rFonts w:hint="default"/>
          <w:lang w:val="en-US" w:eastAsia="zh-CN"/>
        </w:rPr>
        <w:t>③“阳光心家园”</w:t>
      </w:r>
      <w:r>
        <w:rPr>
          <w:rFonts w:hint="eastAsia"/>
          <w:lang w:val="en-US" w:eastAsia="zh-CN"/>
        </w:rPr>
        <w:t>：</w:t>
      </w:r>
      <w:r>
        <w:rPr>
          <w:rFonts w:hint="default"/>
          <w:lang w:val="en-US" w:eastAsia="zh-CN"/>
        </w:rPr>
        <w:t>2021年1月25日，东湖区妇联联合江西久保律师事务所，组织普法志愿者到滕王阁街道民巷社区开展“阳光心家园  把爱带回家” 法治宣讲进社区活动。1月26日，东湖区妇联联合南昌静心社于东湖区扬子洲镇滕洲村村委会开展阳光心家园“把爱带回家”关爱儿童活动。在本次活动中，南昌静心社充分发挥资源优势，链接爱心企业南昌小蜜蜂志工协会、江西山下文化传播有限公司为滕州村5名贫困儿童送去了棉被、粮油、年货等，祝他们度过一个温暖的假期。</w:t>
      </w:r>
    </w:p>
    <w:p>
      <w:pPr>
        <w:rPr>
          <w:rFonts w:hint="default"/>
          <w:lang w:val="en-US" w:eastAsia="zh-CN"/>
        </w:rPr>
      </w:pPr>
      <w:r>
        <w:rPr>
          <w:rFonts w:hint="eastAsia"/>
          <w:lang w:val="en-US" w:eastAsia="zh-CN"/>
        </w:rPr>
        <w:t>综上，民生项目开展完成率100%。</w:t>
      </w:r>
    </w:p>
    <w:p>
      <w:pPr>
        <w:pStyle w:val="5"/>
        <w:bidi w:val="0"/>
        <w:rPr>
          <w:rFonts w:hint="eastAsia"/>
          <w:lang w:val="en-US" w:eastAsia="zh-CN"/>
        </w:rPr>
      </w:pPr>
      <w:r>
        <w:rPr>
          <w:rFonts w:hint="eastAsia"/>
          <w:lang w:val="en-US" w:eastAsia="zh-CN"/>
        </w:rPr>
        <w:t>（6）法制宣传工作开展完成率</w:t>
      </w:r>
    </w:p>
    <w:p>
      <w:pPr>
        <w:rPr>
          <w:rFonts w:hint="eastAsia"/>
          <w:lang w:val="en-US" w:eastAsia="zh-CN"/>
        </w:rPr>
      </w:pPr>
      <w:r>
        <w:rPr>
          <w:rFonts w:hint="default"/>
          <w:lang w:val="en-US" w:eastAsia="zh-CN"/>
        </w:rPr>
        <w:t>区妇联2021年工作要点中提出要加强源头维权，提升维权效能。具体工作事项包括开展①</w:t>
      </w:r>
      <w:r>
        <w:rPr>
          <w:rFonts w:hint="eastAsia"/>
          <w:lang w:val="en-US" w:eastAsia="zh-CN"/>
        </w:rPr>
        <w:t>“</w:t>
      </w:r>
      <w:r>
        <w:rPr>
          <w:rFonts w:hint="default"/>
          <w:lang w:val="en-US" w:eastAsia="zh-CN"/>
        </w:rPr>
        <w:t>巾帼在行动</w:t>
      </w:r>
      <w:r>
        <w:rPr>
          <w:rFonts w:hint="eastAsia"/>
          <w:lang w:val="en-US" w:eastAsia="zh-CN"/>
        </w:rPr>
        <w:t>”</w:t>
      </w:r>
      <w:r>
        <w:rPr>
          <w:rFonts w:hint="default"/>
          <w:lang w:val="en-US" w:eastAsia="zh-CN"/>
        </w:rPr>
        <w:t>送法下乡、②送法进社区、送法进家庭③农村</w:t>
      </w:r>
      <w:r>
        <w:rPr>
          <w:rFonts w:hint="eastAsia"/>
          <w:lang w:val="en-US" w:eastAsia="zh-CN"/>
        </w:rPr>
        <w:t>“</w:t>
      </w:r>
      <w:r>
        <w:rPr>
          <w:rFonts w:hint="default"/>
          <w:lang w:val="en-US" w:eastAsia="zh-CN"/>
        </w:rPr>
        <w:t>法律明白人</w:t>
      </w:r>
      <w:r>
        <w:rPr>
          <w:rFonts w:hint="eastAsia"/>
          <w:lang w:val="en-US" w:eastAsia="zh-CN"/>
        </w:rPr>
        <w:t>”</w:t>
      </w:r>
      <w:r>
        <w:rPr>
          <w:rFonts w:hint="default"/>
          <w:lang w:val="en-US" w:eastAsia="zh-CN"/>
        </w:rPr>
        <w:t>培养工程活动；④妇联维权干部业务培训</w:t>
      </w:r>
      <w:r>
        <w:rPr>
          <w:rFonts w:hint="eastAsia"/>
          <w:lang w:val="en-US" w:eastAsia="zh-CN"/>
        </w:rPr>
        <w:t>。</w:t>
      </w:r>
    </w:p>
    <w:p>
      <w:pPr>
        <w:rPr>
          <w:rFonts w:hint="eastAsia"/>
          <w:lang w:val="en-US" w:eastAsia="zh-CN"/>
        </w:rPr>
      </w:pPr>
      <w:r>
        <w:rPr>
          <w:rFonts w:hint="eastAsia"/>
          <w:lang w:val="en-US" w:eastAsia="zh-CN"/>
        </w:rPr>
        <w:t>宣传工作开展情况：2021年5月1日，东湖区妇联联合董家窑街道人大党工委等相关单位在紫金城社区开展“我为群众办实事——《民法典》进社区”活动。5月7日，区妇联联合公园街道戴家巷社区围绕“建设法治东湖，巾帼在行动”，立足职能、多措并举，深入开展法律进社区活动。6月，区妇联联合中级人民法院和紫金城社区等单位在辖区开展我为群众办实事--《民法典》进社区普法宣传活动。活动现场，由中级人民法院的工作人员当场为小区居民解释房屋管理条例，主动向居民群众讲解民法典知识，发放民法典宣传手册、折页、普法宣传品、公共法律服务站名片等宣传资料50余份，并为前来咨询的业主、居民提供了业主维权、租赁纠纷、婚姻家庭、合同、继承等方面的法律解答。7月27日上午，东湖区妇联联合江西久保律师事务所在佘山路社区开展“向不文明行为说不——送法进社区”活动，二十余位社区居民积极参与，学习法律知识，提升自身的文明素质。10月15日下午，东湖区妇联联合久保律师事务所在党家巷社区开展网络安全宣传活动，有20位居民群众积极参与。</w:t>
      </w:r>
    </w:p>
    <w:p>
      <w:pPr>
        <w:rPr>
          <w:rFonts w:hint="eastAsia"/>
          <w:lang w:val="en-US" w:eastAsia="zh-CN"/>
        </w:rPr>
      </w:pPr>
      <w:r>
        <w:rPr>
          <w:rFonts w:hint="eastAsia"/>
          <w:lang w:val="en-US" w:eastAsia="zh-CN"/>
        </w:rPr>
        <w:t>培训工作开展情况：12月6日到14日，由东湖区综治中心、正心调解工作室连续开展了关于全区婚姻家庭建设与社区治理培训的工作，共十二场，约五百多名社区干部、网格员参加了此次培训。</w:t>
      </w:r>
    </w:p>
    <w:p>
      <w:pPr>
        <w:bidi w:val="0"/>
        <w:rPr>
          <w:rFonts w:hint="default"/>
          <w:lang w:val="en-US" w:eastAsia="zh-CN"/>
        </w:rPr>
      </w:pPr>
      <w:r>
        <w:rPr>
          <w:rFonts w:hint="eastAsia"/>
          <w:lang w:val="en-US" w:eastAsia="zh-CN"/>
        </w:rPr>
        <w:t>综上，法制宣传工作开展完成率100%。</w:t>
      </w:r>
    </w:p>
    <w:p>
      <w:pPr>
        <w:pStyle w:val="5"/>
        <w:bidi w:val="0"/>
        <w:rPr>
          <w:rFonts w:hint="default"/>
          <w:lang w:val="en-US" w:eastAsia="zh-CN"/>
        </w:rPr>
      </w:pPr>
      <w:r>
        <w:rPr>
          <w:rFonts w:hint="eastAsia"/>
          <w:lang w:val="en-US" w:eastAsia="zh-CN"/>
        </w:rPr>
        <w:t>（7）妇联干部及村妇女小组长培训完成率</w:t>
      </w:r>
    </w:p>
    <w:p>
      <w:pPr>
        <w:rPr>
          <w:rFonts w:hint="default"/>
          <w:lang w:val="en-US" w:eastAsia="zh-CN"/>
        </w:rPr>
      </w:pPr>
      <w:r>
        <w:rPr>
          <w:rFonts w:hint="eastAsia"/>
          <w:lang w:val="en-US" w:eastAsia="zh-CN"/>
        </w:rPr>
        <w:t>区妇联2021年工作计划提出要加大对妇联干部和村妇女小组长的培训工作，提升妇联组织的党性指数，提升妇联干部的党性修养，增强妇女干部的群众工作本领，进一步提升妇女干部的履职力和凝聚力。实际2021年9月13日-14日，区妇联举办了2021年全区“党史学习教育”暨新任基层妇联干部培训班。各镇（街道、管理处）妇联专干，各村、社区妇联主席和村妇女小组长等共计189人参加了培训。妇联干部及村妇女小组长培训完成率100%。</w:t>
      </w:r>
    </w:p>
    <w:p>
      <w:pPr>
        <w:pStyle w:val="4"/>
        <w:bidi w:val="0"/>
        <w:rPr>
          <w:rFonts w:hint="eastAsia"/>
          <w:lang w:val="en-US" w:eastAsia="zh-CN"/>
        </w:rPr>
      </w:pPr>
      <w:r>
        <w:rPr>
          <w:rFonts w:hint="eastAsia"/>
          <w:lang w:val="en-US" w:eastAsia="zh-CN"/>
        </w:rPr>
        <w:t>2.质量方面</w:t>
      </w:r>
    </w:p>
    <w:p>
      <w:pPr>
        <w:pStyle w:val="5"/>
        <w:bidi w:val="0"/>
        <w:rPr>
          <w:rFonts w:hint="default"/>
          <w:lang w:val="en-US" w:eastAsia="zh-CN"/>
        </w:rPr>
      </w:pPr>
      <w:r>
        <w:rPr>
          <w:rFonts w:hint="eastAsia"/>
          <w:lang w:val="en-US" w:eastAsia="zh-CN"/>
        </w:rPr>
        <w:t>（1）思想引领活动主题契合度</w:t>
      </w:r>
    </w:p>
    <w:p>
      <w:pPr>
        <w:rPr>
          <w:rFonts w:hint="eastAsia"/>
          <w:lang w:val="en-US" w:eastAsia="zh-CN"/>
        </w:rPr>
      </w:pPr>
      <w:r>
        <w:rPr>
          <w:rFonts w:hint="eastAsia"/>
          <w:lang w:val="en-US" w:eastAsia="zh-CN"/>
        </w:rPr>
        <w:t>区妇联2021年工作要点中提出要抓庆祝活动，增强思想认同。实际开展的活动包括召开党史专题集中学习研讨会，开展“党在我心中”亲子阅读活动；举办“巾帼心向党 奋斗新征程”——赣鄱娘子军主题宣讲活动；举办红色精神小故事分享会等，活动主题明确，且能够有效达到增强思想认同的目标，思想引领活动主题契合度100%。</w:t>
      </w:r>
    </w:p>
    <w:p>
      <w:pPr>
        <w:pStyle w:val="5"/>
        <w:bidi w:val="0"/>
        <w:rPr>
          <w:rFonts w:hint="eastAsia"/>
          <w:lang w:val="en-US" w:eastAsia="zh-CN"/>
        </w:rPr>
      </w:pPr>
      <w:r>
        <w:rPr>
          <w:rFonts w:hint="eastAsia"/>
          <w:lang w:val="en-US" w:eastAsia="zh-CN"/>
        </w:rPr>
        <w:t>（2）示范引领活动评选程序规范性</w:t>
      </w:r>
    </w:p>
    <w:p>
      <w:pPr>
        <w:rPr>
          <w:rFonts w:hint="eastAsia"/>
          <w:lang w:val="en-US" w:eastAsia="zh-CN"/>
        </w:rPr>
      </w:pPr>
      <w:r>
        <w:rPr>
          <w:rFonts w:hint="default"/>
          <w:lang w:val="en-US" w:eastAsia="zh-CN"/>
        </w:rPr>
        <w:t>①三八红旗手、②巾帼建功标兵、③巾帼建功文明岗、④最美家庭、⑤文明家庭评比活动</w:t>
      </w:r>
      <w:r>
        <w:rPr>
          <w:rFonts w:hint="eastAsia"/>
          <w:lang w:val="en-US" w:eastAsia="zh-CN"/>
        </w:rPr>
        <w:t>均按照文件要求，先由各镇（街道、管理处）妇联、区直机关妇委会或行业主管部门等推荐，各推荐单位按照评选条件和要求报送推荐材料，由区妇联对报送人员资格条件等进行综合评审后，确定最终选树名单。示范引领活动评选程序规范性100%。</w:t>
      </w:r>
    </w:p>
    <w:p>
      <w:pPr>
        <w:pStyle w:val="5"/>
        <w:bidi w:val="0"/>
        <w:rPr>
          <w:rFonts w:hint="eastAsia"/>
          <w:lang w:val="en-US" w:eastAsia="zh-CN"/>
        </w:rPr>
      </w:pPr>
      <w:r>
        <w:rPr>
          <w:rFonts w:hint="eastAsia"/>
          <w:lang w:val="en-US" w:eastAsia="zh-CN"/>
        </w:rPr>
        <w:t>（3）绿色生活主题契合度</w:t>
      </w:r>
    </w:p>
    <w:p>
      <w:pPr>
        <w:rPr>
          <w:rFonts w:hint="default"/>
          <w:lang w:val="en-US" w:eastAsia="zh-CN"/>
        </w:rPr>
      </w:pPr>
      <w:r>
        <w:rPr>
          <w:rFonts w:hint="eastAsia"/>
          <w:lang w:val="en-US" w:eastAsia="zh-CN"/>
        </w:rPr>
        <w:t>《国家发展改革委关于印发&lt;绿色生活创建行动总体方案&gt;的通知》（发改环资〔2019〕1696号）文件明确绿色将创建工作由妇联牵头负责，具体内容包括：努力提升家庭成员生态文明意识，学习资源环境方面的基本国情、科普知识和法规政策。优先购买使用节能电器、节水器具等绿色产品，减少家庭能源资源消耗。主动践行绿色生活方式，节约用电用水，不浪费粮食，减少使用一次性塑料制品，尽量采用公共交通方式出行，实行生活垃圾减量分类。积极参与野生动植物保护、义务植树、环境监督、环保宣传等绿色公益活动，参与“绿色生活·最美家庭”、“美丽家园”建设等主题活动。区妇联2021年工作要点中也提出开展“绿色生活”主题活动，将清洁家庭创建和绿色生活倡导、全区为民行动有机融合。实际区妇联开展的“清洁家庭”创建活动主要工作内容为：发放“清洁家庭”创建倡议书，设置“清洁家庭”宣传横幅，张贴宣传海报，发放宣传资料，开展宣传活动，开设“清洁家庭”专题培训，引导广大妇女群众和家庭树立勤俭持家、祟德向善、文明健康、节约环保的绿色思想观念和生活方式，自觉摒弃铺张浪费、封建迷信等陈规陋习和不良风气，共建幸福家园。综合来看，绿色生活主题契合度100%。</w:t>
      </w:r>
    </w:p>
    <w:p>
      <w:pPr>
        <w:pStyle w:val="5"/>
        <w:bidi w:val="0"/>
        <w:rPr>
          <w:rFonts w:hint="default"/>
          <w:lang w:val="en-US" w:eastAsia="zh-CN"/>
        </w:rPr>
      </w:pPr>
      <w:r>
        <w:rPr>
          <w:rFonts w:hint="eastAsia"/>
          <w:lang w:val="en-US" w:eastAsia="zh-CN"/>
        </w:rPr>
        <w:t>（4）家政培训职业资格获取率</w:t>
      </w:r>
    </w:p>
    <w:p>
      <w:pPr>
        <w:rPr>
          <w:rFonts w:hint="default"/>
          <w:lang w:val="en-US" w:eastAsia="zh-CN"/>
        </w:rPr>
      </w:pPr>
      <w:r>
        <w:rPr>
          <w:rFonts w:hint="eastAsia"/>
          <w:lang w:val="en-US" w:eastAsia="zh-CN"/>
        </w:rPr>
        <w:t>区妇联2021年工作要点提出要</w:t>
      </w:r>
      <w:r>
        <w:rPr>
          <w:rFonts w:hint="default"/>
          <w:lang w:val="en-US" w:eastAsia="zh-CN"/>
        </w:rPr>
        <w:t>宣传落实妇女创新创业工作，实施</w:t>
      </w:r>
      <w:r>
        <w:rPr>
          <w:rFonts w:hint="eastAsia"/>
          <w:lang w:val="en-US" w:eastAsia="zh-CN"/>
        </w:rPr>
        <w:t>“</w:t>
      </w:r>
      <w:r>
        <w:rPr>
          <w:rFonts w:hint="default"/>
          <w:lang w:val="en-US" w:eastAsia="zh-CN"/>
        </w:rPr>
        <w:t>家政培训提升行动</w:t>
      </w:r>
      <w:r>
        <w:rPr>
          <w:rFonts w:hint="eastAsia"/>
          <w:lang w:val="en-US" w:eastAsia="zh-CN"/>
        </w:rPr>
        <w:t>”</w:t>
      </w:r>
      <w:r>
        <w:rPr>
          <w:rFonts w:hint="default"/>
          <w:lang w:val="en-US" w:eastAsia="zh-CN"/>
        </w:rPr>
        <w:t>，举办家政服务技能培训，帮助更多妇女在家政领域实现就业增收。</w:t>
      </w:r>
    </w:p>
    <w:p>
      <w:pPr>
        <w:rPr>
          <w:rFonts w:hint="default"/>
          <w:lang w:val="en-US" w:eastAsia="zh-CN"/>
        </w:rPr>
      </w:pPr>
      <w:r>
        <w:rPr>
          <w:rFonts w:hint="eastAsia"/>
          <w:lang w:val="en-US" w:eastAsia="zh-CN"/>
        </w:rPr>
        <w:t>实际于2021年3月2日组织了为期15天的家庭服务业技能培训。本次培训学习，聘请了专业的家政技能老师对学员们进行了专业培训和细致讲授，采取理论与实操相结合的方式，从学员的实际需求出发，灵活授课。课程内容包含家政服务概述、职业操守、安全与卫生、家庭保洁、母婴护理等专业知识和礼仪习俗，并现场示范育婴幼儿的过程。95%以上的学员通过培训取得职业资格证书，被安排就业上岗，为企业培育出高素质、高技能的服务人才，为失业女性带来双重福利。家政培训职业资格获取率95%。</w:t>
      </w:r>
    </w:p>
    <w:p>
      <w:pPr>
        <w:pStyle w:val="5"/>
        <w:bidi w:val="0"/>
        <w:rPr>
          <w:rFonts w:hint="eastAsia"/>
          <w:lang w:val="en-US" w:eastAsia="zh-CN"/>
        </w:rPr>
      </w:pPr>
      <w:r>
        <w:rPr>
          <w:rFonts w:hint="eastAsia"/>
          <w:lang w:val="en-US" w:eastAsia="zh-CN"/>
        </w:rPr>
        <w:t>（5）贫困儿童救助记录完整性</w:t>
      </w:r>
    </w:p>
    <w:p>
      <w:pPr>
        <w:bidi w:val="0"/>
        <w:rPr>
          <w:rFonts w:hint="default"/>
          <w:lang w:val="en-US" w:eastAsia="zh-CN"/>
        </w:rPr>
      </w:pPr>
      <w:r>
        <w:rPr>
          <w:rFonts w:hint="eastAsia"/>
          <w:lang w:val="en-US" w:eastAsia="zh-CN"/>
        </w:rPr>
        <w:t>区妇联通过微信公众号宣传记录贫困儿童救助工作，同时，对于发放给贫困儿童的慰问物资，均在会计凭证中有详细记录，有具体慰问对象、慰问物品及数量等信息，贫困儿童救助记录完整性100%。</w:t>
      </w:r>
    </w:p>
    <w:p>
      <w:pPr>
        <w:pStyle w:val="5"/>
        <w:bidi w:val="0"/>
        <w:rPr>
          <w:rFonts w:hint="eastAsia"/>
          <w:lang w:val="en-US" w:eastAsia="zh-CN"/>
        </w:rPr>
      </w:pPr>
      <w:r>
        <w:rPr>
          <w:rFonts w:hint="eastAsia"/>
          <w:lang w:val="en-US" w:eastAsia="zh-CN"/>
        </w:rPr>
        <w:t>（6）法治宣传对象覆盖率</w:t>
      </w:r>
    </w:p>
    <w:p>
      <w:pPr>
        <w:rPr>
          <w:rFonts w:hint="default"/>
          <w:lang w:val="en-US" w:eastAsia="zh-CN"/>
        </w:rPr>
      </w:pPr>
      <w:r>
        <w:rPr>
          <w:rFonts w:hint="default"/>
          <w:lang w:val="en-US" w:eastAsia="zh-CN"/>
        </w:rPr>
        <w:t>区妇联2021年工作要点中提出要加强源头维权，提升维权效能。具体工作事项包括开展①“巾帼在行动”送法下乡、②送法进社区、送法进家庭③农村“法律明白人”培养工程活动；④妇联维权干部业务培训。</w:t>
      </w:r>
      <w:r>
        <w:rPr>
          <w:rFonts w:hint="eastAsia"/>
          <w:lang w:val="en-US" w:eastAsia="zh-CN"/>
        </w:rPr>
        <w:t>实际普法对象包括社区群众、</w:t>
      </w:r>
      <w:r>
        <w:rPr>
          <w:rFonts w:hint="default"/>
          <w:lang w:val="en-US" w:eastAsia="zh-CN"/>
        </w:rPr>
        <w:t>社区干部、网格员</w:t>
      </w:r>
      <w:r>
        <w:rPr>
          <w:rFonts w:hint="eastAsia"/>
          <w:lang w:val="en-US" w:eastAsia="zh-CN"/>
        </w:rPr>
        <w:t>，法治宣传对象覆盖率100%。</w:t>
      </w:r>
    </w:p>
    <w:p>
      <w:pPr>
        <w:pStyle w:val="5"/>
        <w:bidi w:val="0"/>
        <w:rPr>
          <w:rFonts w:hint="eastAsia"/>
          <w:lang w:val="en-US" w:eastAsia="zh-CN"/>
        </w:rPr>
      </w:pPr>
      <w:r>
        <w:rPr>
          <w:rFonts w:hint="eastAsia"/>
          <w:lang w:val="en-US" w:eastAsia="zh-CN"/>
        </w:rPr>
        <w:t>（7）妇联干部及村妇女小组长培训内容覆盖率</w:t>
      </w:r>
    </w:p>
    <w:p>
      <w:pPr>
        <w:rPr>
          <w:rFonts w:hint="default"/>
          <w:lang w:val="en-US" w:eastAsia="zh-CN"/>
        </w:rPr>
      </w:pPr>
      <w:r>
        <w:rPr>
          <w:rFonts w:hint="default"/>
          <w:lang w:val="en-US" w:eastAsia="zh-CN"/>
        </w:rPr>
        <w:t>区妇联2021年工作计划提出要加大对妇联干部和村妇女小组长的培训工作，提升妇联组织的党性指数，提升妇联干部的党性修养，增强妇女干部的群众工作本领，进一步提升妇女干部的履职力和凝聚力</w:t>
      </w:r>
      <w:r>
        <w:rPr>
          <w:rFonts w:hint="eastAsia"/>
          <w:lang w:val="en-US" w:eastAsia="zh-CN"/>
        </w:rPr>
        <w:t>，因此培训内容应当覆党性培训及业务培训</w:t>
      </w:r>
      <w:r>
        <w:rPr>
          <w:rFonts w:hint="default"/>
          <w:lang w:val="en-US" w:eastAsia="zh-CN"/>
        </w:rPr>
        <w:t>。实际2021年9月13日-14日，区妇联举办了2021年全区“党史学习教育”暨新任基层妇联干部培训班。区委党校常务副校长稂文娟作了《百年红歌说党史》--党史学习教育专题宣讲。稂校长为大家讲解了学习中共党史的伟大意义，回顾了四个时期的红色历史</w:t>
      </w:r>
      <w:r>
        <w:rPr>
          <w:rFonts w:hint="eastAsia"/>
          <w:lang w:val="en-US" w:eastAsia="zh-CN"/>
        </w:rPr>
        <w:t>。 下午，区委党校副校长张凡开展了学习贯彻习近平总书记“七一”重要讲话精神专题宣讲，从三个方面对习近平总书记“七一”重要讲话精神进行了全面、准确的解读。区妇联主席传达学习了东湖区第十三次党代会精神围绕妇联综合业务工作包括妇女思想政治引领、妇女发展和维权、家庭家教家风、妇联组织建设等对新任基层妇联干部进行了辅导。综上，本次培训内容已覆盖党性培训及业务培训，妇联干部及村妇女小组长培训内容覆盖率100%。</w:t>
      </w:r>
    </w:p>
    <w:p>
      <w:pPr>
        <w:pStyle w:val="4"/>
        <w:bidi w:val="0"/>
        <w:rPr>
          <w:rFonts w:hint="eastAsia"/>
          <w:lang w:val="en-US" w:eastAsia="zh-CN"/>
        </w:rPr>
      </w:pPr>
      <w:r>
        <w:rPr>
          <w:rFonts w:hint="eastAsia"/>
          <w:lang w:val="en-US" w:eastAsia="zh-CN"/>
        </w:rPr>
        <w:t>3.时效方面</w:t>
      </w:r>
    </w:p>
    <w:p>
      <w:pPr>
        <w:pStyle w:val="5"/>
        <w:bidi w:val="0"/>
        <w:rPr>
          <w:rFonts w:hint="eastAsia"/>
          <w:lang w:val="en-US" w:eastAsia="zh-CN"/>
        </w:rPr>
      </w:pPr>
      <w:r>
        <w:rPr>
          <w:rFonts w:hint="eastAsia"/>
          <w:lang w:val="en-US" w:eastAsia="zh-CN"/>
        </w:rPr>
        <w:t>（1）宣传活动开展及时性</w:t>
      </w:r>
    </w:p>
    <w:p>
      <w:pPr>
        <w:rPr>
          <w:rFonts w:hint="eastAsia"/>
          <w:lang w:val="en-US" w:eastAsia="zh-CN"/>
        </w:rPr>
      </w:pPr>
      <w:r>
        <w:rPr>
          <w:rFonts w:hint="eastAsia"/>
          <w:lang w:val="en-US" w:eastAsia="zh-CN"/>
        </w:rPr>
        <w:t>经查看区妇联2021年各类活动开展记录，节庆日等相关活动，均能在相关节庆日前后开展。例如，5月8日区妇联联合南昌艺贝文化发展有限公司在8090梦工厂5号楼艺贝派美学空间举办“感恩母亲，‘染’出我心”母亲节主题活动；（2021年母亲节为5月9日）5月31日开展了“六一”儿童节慰问活动；6月10日在锦苑春天社区开展“我为群众办实事”——端午送温情 走访贫困妇女活动（2021年端午节为6月14日）；“八一”建军节来临之际，7月26日，慰问了我区2位军嫂；9月15日下午，区妇联联合福州路北社区开展我们的节日“月儿圆圆 浓情中秋”茶话会（2021年中秋节为9月21日）。综上，宣传活动开展及时性100%</w:t>
      </w:r>
    </w:p>
    <w:p>
      <w:pPr>
        <w:pStyle w:val="3"/>
        <w:bidi w:val="0"/>
        <w:rPr>
          <w:rFonts w:hint="eastAsia"/>
          <w:lang w:val="en-US" w:eastAsia="zh-CN"/>
        </w:rPr>
      </w:pPr>
      <w:bookmarkStart w:id="9" w:name="_Toc9505"/>
      <w:r>
        <w:rPr>
          <w:rFonts w:hint="eastAsia"/>
          <w:lang w:val="en-US" w:eastAsia="zh-CN"/>
        </w:rPr>
        <w:t>（二）履职效果情况</w:t>
      </w:r>
      <w:bookmarkEnd w:id="9"/>
    </w:p>
    <w:p>
      <w:pPr>
        <w:pStyle w:val="4"/>
        <w:bidi w:val="0"/>
        <w:rPr>
          <w:rStyle w:val="16"/>
          <w:rFonts w:hint="eastAsia"/>
          <w:b/>
          <w:bCs/>
          <w:lang w:val="en-US" w:eastAsia="zh-CN"/>
        </w:rPr>
      </w:pPr>
      <w:r>
        <w:rPr>
          <w:rStyle w:val="16"/>
          <w:rFonts w:hint="eastAsia"/>
          <w:b/>
          <w:bCs/>
          <w:lang w:val="en-US" w:eastAsia="zh-CN"/>
        </w:rPr>
        <w:t>1.社会效益方面</w:t>
      </w:r>
    </w:p>
    <w:p>
      <w:pPr>
        <w:pStyle w:val="5"/>
        <w:bidi w:val="0"/>
        <w:rPr>
          <w:rFonts w:hint="default"/>
          <w:lang w:val="en-US" w:eastAsia="zh-CN"/>
        </w:rPr>
      </w:pPr>
      <w:r>
        <w:rPr>
          <w:rFonts w:hint="eastAsia"/>
          <w:lang w:val="en-US" w:eastAsia="zh-CN"/>
        </w:rPr>
        <w:t>（1）12338来访问题协调跟进率</w:t>
      </w:r>
    </w:p>
    <w:p>
      <w:pPr>
        <w:bidi w:val="0"/>
        <w:rPr>
          <w:rFonts w:hint="eastAsia"/>
          <w:lang w:val="en-US" w:eastAsia="zh-CN"/>
        </w:rPr>
      </w:pPr>
      <w:r>
        <w:rPr>
          <w:rFonts w:hint="eastAsia"/>
          <w:lang w:val="en-US" w:eastAsia="zh-CN"/>
        </w:rPr>
        <w:t>根据区妇联12338热线来电、来访、上级转办维权台账，区妇联共街道来访电话17个，来访内容包括子女抚养、家庭纠纷、财产纠纷等。17条维权诉求中，4条维权信息因当事人无法前来，或婉拒上门调解，无法跟进处理；3条维权信息调解结果为无；1条为区妇联无法帮助协调的子女上下学无人接送问题；剩余问题均已协调跟进，12338来访问题协调跟进率=（17-4-1-3）/（17-4-1）=75%，协调跟进力度有待进一步加大。</w:t>
      </w:r>
    </w:p>
    <w:p>
      <w:pPr>
        <w:pStyle w:val="5"/>
        <w:bidi w:val="0"/>
        <w:rPr>
          <w:rFonts w:hint="eastAsia"/>
          <w:lang w:val="en-US" w:eastAsia="zh-CN"/>
        </w:rPr>
      </w:pPr>
      <w:r>
        <w:rPr>
          <w:rFonts w:hint="eastAsia"/>
          <w:lang w:val="en-US" w:eastAsia="zh-CN"/>
        </w:rPr>
        <w:t>（2）贫困妇儿走访慰问完成率</w:t>
      </w:r>
    </w:p>
    <w:p>
      <w:pPr>
        <w:bidi w:val="0"/>
        <w:rPr>
          <w:rFonts w:hint="eastAsia"/>
          <w:lang w:val="en-US" w:eastAsia="zh-CN"/>
        </w:rPr>
      </w:pPr>
      <w:r>
        <w:rPr>
          <w:rFonts w:hint="eastAsia"/>
          <w:lang w:val="en-US" w:eastAsia="zh-CN"/>
        </w:rPr>
        <w:t>区妇联2021年度部门整体支出绩效目标中提出2021年要走访贫困妇儿送关爱100名，实际端午走访24人，母亲节走访20人，六一儿童节走访30人，中秋节走访31人，共计走访贫困妇儿105人。具体走访情况为：5月10日，东湖区妇联一行三人在百花洲街道小金台社区开展“慰问贫困妇女 关爱暖人心”公益活动，走访慰问了20多位贫困妇女，把政府的关怀与妇联组织的温暖送到她们身边，切实提升她们的获得感、幸福感和安全感。6月10日上午，区妇联一行四人在锦苑春天社区开展“我为群众办实事”——端午送温情 走访贫困妇女活动，把妇联的关心和节日的祝福送给需要帮助的贫困妇女们，给24位困难妇女送去了粽子、咸蛋、糕点等慰问品，询问了他们的家庭生活状况、存在的问题及困难。9月7日、8日，在中秋节来临之际，东湖区妇联走访慰问了辖区贫困妇女，深入村（社区），将精心准备的月饼、油、奶等慰问品送到贫困妇女的手中，并送上节日的祝福。贫困妇儿走访慰问完成率100%。</w:t>
      </w:r>
    </w:p>
    <w:p>
      <w:pPr>
        <w:pStyle w:val="5"/>
        <w:bidi w:val="0"/>
        <w:rPr>
          <w:rFonts w:hint="eastAsia"/>
          <w:lang w:val="en-US" w:eastAsia="zh-CN"/>
        </w:rPr>
      </w:pPr>
      <w:r>
        <w:rPr>
          <w:rFonts w:hint="eastAsia"/>
          <w:lang w:val="en-US" w:eastAsia="zh-CN"/>
        </w:rPr>
        <w:t>（3）提高科学家庭教育指导水平和能力</w:t>
      </w:r>
    </w:p>
    <w:p>
      <w:pPr>
        <w:bidi w:val="0"/>
        <w:rPr>
          <w:rFonts w:hint="eastAsia"/>
          <w:lang w:val="en-US" w:eastAsia="zh-CN"/>
        </w:rPr>
      </w:pPr>
      <w:r>
        <w:rPr>
          <w:rFonts w:hint="eastAsia"/>
          <w:lang w:val="en-US" w:eastAsia="zh-CN"/>
        </w:rPr>
        <w:t>区妇联2021年工作要点中提出要推动建立公益讲师团队、家庭教育公益讲师队伍，走进学校、社区、农村开展培训讲座，提高科学家庭教育指导水平和能力。依托“陪伴的力量”和儿童安全教育活动，从各行各业中发现、选树一批东湖区公益讲师，通过举办家庭教育知识讲座、优秀家长分享会等，促进家长、讲师、妇联干部的共同成长。</w:t>
      </w:r>
    </w:p>
    <w:p>
      <w:pPr>
        <w:bidi w:val="0"/>
        <w:rPr>
          <w:rFonts w:hint="eastAsia"/>
          <w:lang w:val="en-US" w:eastAsia="zh-CN"/>
        </w:rPr>
      </w:pPr>
      <w:r>
        <w:rPr>
          <w:rFonts w:hint="eastAsia"/>
          <w:lang w:val="en-US" w:eastAsia="zh-CN"/>
        </w:rPr>
        <w:t>实际2021年3月22日至26日，由东湖区妇联、东湖区教科体局主办，江西省家庭教育指导中心承办的“东湖区2021家庭教育和儿童安全教育宣讲”活动——“陪伴的力量”家庭教育讲座在东湖区的豫章小学、南京路小学、百花洲小学等16所学校开展，1000余名家长参与讲座，让有力量的陪伴温暖孩子的童心。呼吁家长们平时多陪伴孩子们，加强对孩子们沟通能力和胆量的锻炼，促进孩子们身心的健康成长。引导家长们以积极的心态去面对孩子在成长过程中遇到的各类问题，帮助家长们掌握正确教育孩子的方法3月23日，由区妇联主办、静心社承办的“巾帼-益学堂”家庭教育类试点项目中下属的“愿失独不孤独”主题沙龙于东湖区小金台社区开展，旨在针对“失独家庭”人群进行专业的心理疏导与教育，并对该人群的未来生活提出构想。4月14日，由区妇联主办、静心社承办的“巾帼-益学堂”家庭教育类试点项目中下属的“陪伴的力量”主题讲座在东湖区小金台社区开展。本次家庭教育讲座以“隔代教育”为题，旨在使得社区居民了解隔代教育现象在当今社会的现状、类型、优劣势以及常见相关问题的解决方案。</w:t>
      </w:r>
    </w:p>
    <w:p>
      <w:pPr>
        <w:bidi w:val="0"/>
        <w:rPr>
          <w:rFonts w:hint="eastAsia"/>
          <w:lang w:val="en-US" w:eastAsia="zh-CN"/>
        </w:rPr>
      </w:pPr>
      <w:r>
        <w:rPr>
          <w:rFonts w:hint="eastAsia"/>
          <w:lang w:val="en-US" w:eastAsia="zh-CN"/>
        </w:rPr>
        <w:t>总体来看，区妇联家庭教育指导工作开展较为扎实，能够较为有效的提高科学家庭教育指导水平和能力，在家庭层面帮助儿童健康成长。</w:t>
      </w:r>
    </w:p>
    <w:p>
      <w:pPr>
        <w:pStyle w:val="5"/>
        <w:bidi w:val="0"/>
        <w:rPr>
          <w:rFonts w:hint="default"/>
          <w:lang w:val="en-US" w:eastAsia="zh-CN"/>
        </w:rPr>
      </w:pPr>
      <w:r>
        <w:rPr>
          <w:rFonts w:hint="eastAsia"/>
          <w:lang w:val="en-US" w:eastAsia="zh-CN"/>
        </w:rPr>
        <w:t>（4）提升矛盾纠纷调解能力</w:t>
      </w:r>
    </w:p>
    <w:p>
      <w:pPr>
        <w:rPr>
          <w:rFonts w:hint="eastAsia"/>
          <w:lang w:val="en-US" w:eastAsia="zh-CN"/>
        </w:rPr>
      </w:pPr>
      <w:r>
        <w:rPr>
          <w:rFonts w:hint="eastAsia"/>
          <w:lang w:val="en-US" w:eastAsia="zh-CN"/>
        </w:rPr>
        <w:t>12月6日到14日，由东湖区综治中心、正心调解工作室连续开展了关于全区婚姻家庭建设与社区治理培训的工作，共十二场，约五百多名社区干部、网格员参加了此次培训。本次培训邀请了庐山爱情学院创始人、东湖区婚姻家庭发展促进会、正心调解负责人正心老师主讲。正心老师从事婚姻家庭研究近20年，从专业的理论、丰富的实践工作经验出发，把婚姻家庭建设与社区治理结合在一起，从家庭关系和家庭系统入手，加强提升社区网格员化解矛盾纠纷排查能力，把因人格缺陷、家庭缺爱所导致的社会矛盾、极端事件与各种纠纷解决在萌芽状态，把管理触角深入家庭关系和个人心理支持系统，从源头解决各种矛盾纠纷。通过案例分析解剖、生动形象的讲述了当代婚姻家庭的存在现状以及如何降低社区矛盾纠纷，提高社区居民幸福指数，如何打造社区网格维稳长效机制，婚姻家庭与平安建设的内在逻辑等方面进行授课，极大地提升了基层干部处理矛盾纠纷的专业调解技巧与技能。</w:t>
      </w:r>
    </w:p>
    <w:p>
      <w:pPr>
        <w:rPr>
          <w:rFonts w:hint="eastAsia"/>
          <w:lang w:val="en-US" w:eastAsia="zh-CN"/>
        </w:rPr>
      </w:pPr>
      <w:r>
        <w:rPr>
          <w:rFonts w:hint="eastAsia"/>
          <w:lang w:val="en-US" w:eastAsia="zh-CN"/>
        </w:rPr>
        <w:t>培训结束后，不少网格员、基层干部表示，这样的培训很具有实用性、不但提升婚姻家庭矛盾纠纷的专业调解能力，还就自身婚姻家庭情感做出了一翻梳理，受益匪浅，意义深远，表示会把学到的知识和经验融会贯通到网格工作中去，为稳定社区居民家庭关系，促进居民家庭和谐起到积极作用。</w:t>
      </w:r>
    </w:p>
    <w:p>
      <w:pPr>
        <w:rPr>
          <w:rFonts w:hint="eastAsia"/>
          <w:lang w:val="en-US" w:eastAsia="zh-CN"/>
        </w:rPr>
      </w:pPr>
      <w:r>
        <w:rPr>
          <w:rFonts w:hint="eastAsia"/>
          <w:lang w:val="en-US" w:eastAsia="zh-CN"/>
        </w:rPr>
        <w:t>综上，基层干部提升矛盾纠纷调解能力明显提升。</w:t>
      </w:r>
    </w:p>
    <w:p>
      <w:pPr>
        <w:pStyle w:val="5"/>
        <w:bidi w:val="0"/>
        <w:rPr>
          <w:rFonts w:hint="eastAsia"/>
          <w:lang w:val="en-US" w:eastAsia="zh-CN"/>
        </w:rPr>
      </w:pPr>
      <w:r>
        <w:rPr>
          <w:rFonts w:hint="eastAsia"/>
          <w:lang w:val="en-US" w:eastAsia="zh-CN"/>
        </w:rPr>
        <w:t>（5）助推社会治理现代化和平安南昌建设</w:t>
      </w:r>
    </w:p>
    <w:p>
      <w:pPr>
        <w:rPr>
          <w:rFonts w:hint="default"/>
          <w:lang w:val="en-US" w:eastAsia="zh-CN"/>
        </w:rPr>
      </w:pPr>
      <w:r>
        <w:rPr>
          <w:rFonts w:hint="eastAsia"/>
          <w:lang w:val="en-US" w:eastAsia="zh-CN"/>
        </w:rPr>
        <w:t>区妇联</w:t>
      </w:r>
      <w:r>
        <w:rPr>
          <w:rFonts w:hint="default"/>
          <w:lang w:val="en-US" w:eastAsia="zh-CN"/>
        </w:rPr>
        <w:t>利用“三八”妇女维权周、法治宣传周等时间节点，积极开展法治主题宣传、法治服务课堂等“网上+网下”法治宣传活动。深入开展反家暴、防艾、禁毒等主题宣传活动10余场，邀请专业律师向居民普及关于婚姻生活、家庭暴力、家庭财产纠纷、儿童抚养等妇女关心的法律维权话题的相关法律常识，发放扫黑除恶、反邪教、反家暴法、平安建设、防艾禁毒等各类普法宣传资料千余份，进一步扩大宣传的广度和深度，有效助推社会治理现代化和平安南昌建设。</w:t>
      </w:r>
    </w:p>
    <w:p>
      <w:pPr>
        <w:pStyle w:val="3"/>
        <w:bidi w:val="0"/>
        <w:rPr>
          <w:rFonts w:hint="eastAsia"/>
          <w:lang w:val="en-US" w:eastAsia="zh-CN"/>
        </w:rPr>
      </w:pPr>
      <w:bookmarkStart w:id="10" w:name="_Toc902"/>
      <w:r>
        <w:rPr>
          <w:rFonts w:hint="eastAsia"/>
          <w:lang w:val="en-US" w:eastAsia="zh-CN"/>
        </w:rPr>
        <w:t>（三）社会满意度</w:t>
      </w:r>
      <w:bookmarkEnd w:id="10"/>
    </w:p>
    <w:p>
      <w:pPr>
        <w:pStyle w:val="4"/>
        <w:bidi w:val="0"/>
        <w:rPr>
          <w:rFonts w:hint="eastAsia"/>
          <w:lang w:val="en-US" w:eastAsia="zh-CN"/>
        </w:rPr>
      </w:pPr>
      <w:r>
        <w:rPr>
          <w:rFonts w:hint="eastAsia"/>
          <w:lang w:val="en-US" w:eastAsia="zh-CN"/>
        </w:rPr>
        <w:t>1.社会满意度方面</w:t>
      </w:r>
    </w:p>
    <w:p>
      <w:pPr>
        <w:bidi w:val="0"/>
        <w:rPr>
          <w:rFonts w:hint="eastAsia"/>
          <w:b/>
          <w:bCs/>
          <w:lang w:val="en-US" w:eastAsia="zh-CN"/>
        </w:rPr>
      </w:pPr>
      <w:r>
        <w:rPr>
          <w:rFonts w:hint="eastAsia"/>
          <w:b/>
          <w:bCs/>
          <w:lang w:val="en-US" w:eastAsia="zh-CN"/>
        </w:rPr>
        <w:t>（1）妇女满意度</w:t>
      </w:r>
    </w:p>
    <w:p>
      <w:pPr>
        <w:bidi w:val="0"/>
        <w:rPr>
          <w:rFonts w:hint="default"/>
          <w:lang w:val="en-US" w:eastAsia="zh-CN"/>
        </w:rPr>
      </w:pPr>
      <w:r>
        <w:rPr>
          <w:rFonts w:hint="eastAsia"/>
          <w:lang w:val="en-US" w:eastAsia="zh-CN"/>
        </w:rPr>
        <w:t>为了解东湖区妇女对区妇联履职工作的满意度情况，评价小组在东湖区辖区随机就女性群众开展满意度调查，主要征询其对妇联宣传活动开展、妇女、儿童帮扶工作开展的满意度情况，多数群众均表示基本满意及以上，认为区妇联工作有落到实处，个别群众表示对妇联开展的相关活动没有太大关注，群众综合满意度96%。</w:t>
      </w:r>
    </w:p>
    <w:p>
      <w:pPr>
        <w:pStyle w:val="2"/>
        <w:bidi w:val="0"/>
        <w:rPr>
          <w:rFonts w:hint="eastAsia"/>
          <w:lang w:val="en-US" w:eastAsia="zh-CN"/>
        </w:rPr>
      </w:pPr>
      <w:bookmarkStart w:id="11" w:name="_Toc13383"/>
      <w:r>
        <w:rPr>
          <w:rFonts w:hint="eastAsia"/>
          <w:lang w:val="en-US" w:eastAsia="zh-CN"/>
        </w:rPr>
        <w:t>三、部门（单位）整体支出绩效中存在问题及改进措施</w:t>
      </w:r>
      <w:bookmarkEnd w:id="11"/>
    </w:p>
    <w:p>
      <w:pPr>
        <w:pStyle w:val="3"/>
        <w:bidi w:val="0"/>
        <w:rPr>
          <w:rFonts w:hint="eastAsia"/>
          <w:lang w:val="en-US" w:eastAsia="zh-CN"/>
        </w:rPr>
      </w:pPr>
      <w:bookmarkStart w:id="12" w:name="_Toc1569"/>
      <w:r>
        <w:rPr>
          <w:rFonts w:hint="eastAsia"/>
          <w:lang w:val="en-US" w:eastAsia="zh-CN"/>
        </w:rPr>
        <w:t>（一）主要问题及原因分析</w:t>
      </w:r>
      <w:bookmarkEnd w:id="12"/>
    </w:p>
    <w:p>
      <w:pPr>
        <w:pStyle w:val="4"/>
        <w:bidi w:val="0"/>
        <w:rPr>
          <w:rFonts w:hint="default"/>
          <w:lang w:val="en-US" w:eastAsia="zh-CN"/>
        </w:rPr>
      </w:pPr>
      <w:r>
        <w:rPr>
          <w:rFonts w:hint="eastAsia"/>
          <w:lang w:val="en-US" w:eastAsia="zh-CN"/>
        </w:rPr>
        <w:t>1.绩效管理能力待加强，绩效评价质量待提升</w:t>
      </w:r>
    </w:p>
    <w:p>
      <w:pPr>
        <w:rPr>
          <w:rFonts w:hint="default"/>
          <w:lang w:val="en-US" w:eastAsia="zh-CN"/>
        </w:rPr>
      </w:pPr>
      <w:r>
        <w:rPr>
          <w:rFonts w:hint="eastAsia"/>
          <w:b/>
          <w:bCs/>
          <w:lang w:val="en-US" w:eastAsia="zh-CN"/>
        </w:rPr>
        <w:t>一是绩效目标设置规范性待提升。</w:t>
      </w:r>
      <w:r>
        <w:rPr>
          <w:rFonts w:hint="default"/>
          <w:lang w:val="en-US" w:eastAsia="zh-CN"/>
        </w:rPr>
        <w:t>南昌市东湖区妇女联合会已填报2021年部门整体支出绩效目标表，数量指标设置总体较为规范，明确了各项工作开展的数量要求，但设置一项</w:t>
      </w:r>
      <w:r>
        <w:rPr>
          <w:rFonts w:hint="eastAsia"/>
          <w:lang w:val="en-US" w:eastAsia="zh-CN"/>
        </w:rPr>
        <w:t>“</w:t>
      </w:r>
      <w:r>
        <w:rPr>
          <w:rFonts w:hint="default"/>
          <w:lang w:val="en-US" w:eastAsia="zh-CN"/>
        </w:rPr>
        <w:t>其他办公事务100%</w:t>
      </w:r>
      <w:r>
        <w:rPr>
          <w:rFonts w:hint="eastAsia"/>
          <w:lang w:val="en-US" w:eastAsia="zh-CN"/>
        </w:rPr>
        <w:t>”</w:t>
      </w:r>
      <w:r>
        <w:rPr>
          <w:rFonts w:hint="default"/>
          <w:lang w:val="en-US" w:eastAsia="zh-CN"/>
        </w:rPr>
        <w:t>表意不明，不具备考核意义；质量指标、时效指标等设置均不够规范，质量指标仅设置</w:t>
      </w:r>
      <w:r>
        <w:rPr>
          <w:rFonts w:hint="eastAsia"/>
          <w:lang w:val="en-US" w:eastAsia="zh-CN"/>
        </w:rPr>
        <w:t>“</w:t>
      </w:r>
      <w:r>
        <w:rPr>
          <w:rFonts w:hint="default"/>
          <w:lang w:val="en-US" w:eastAsia="zh-CN"/>
        </w:rPr>
        <w:t>数量质量达标率</w:t>
      </w:r>
      <w:r>
        <w:rPr>
          <w:rFonts w:hint="eastAsia"/>
          <w:lang w:val="en-US" w:eastAsia="zh-CN"/>
        </w:rPr>
        <w:t>”</w:t>
      </w:r>
      <w:r>
        <w:rPr>
          <w:rFonts w:hint="default"/>
          <w:lang w:val="en-US" w:eastAsia="zh-CN"/>
        </w:rPr>
        <w:t>，未与数量指标一一对应，且无明确考核标准，时效指标为工作完成及时率100%，但未明确何时为及时。区妇联已编制项目支出绩效目标申报表，明确了该项目的总体目标及年度绩效目标等，但未将绩效目标细化分解为具体的指标值，绩效目标完整性不足。</w:t>
      </w:r>
    </w:p>
    <w:p>
      <w:pPr>
        <w:rPr>
          <w:rFonts w:hint="default"/>
          <w:lang w:val="en-US" w:eastAsia="zh-CN"/>
        </w:rPr>
      </w:pPr>
      <w:r>
        <w:rPr>
          <w:rFonts w:hint="eastAsia"/>
          <w:b/>
          <w:bCs/>
          <w:lang w:val="en-US" w:eastAsia="zh-CN"/>
        </w:rPr>
        <w:t>二是监控纠偏作用未得到有效发挥。</w:t>
      </w:r>
      <w:r>
        <w:rPr>
          <w:rFonts w:hint="default"/>
          <w:lang w:val="en-US" w:eastAsia="zh-CN"/>
        </w:rPr>
        <w:t>南昌市东湖区妇女联合会按要求开展了两次2021年度项目支出绩效监控工作，对妇联事务工作经费项目进行了监控，项目执行情况分析不具体。此外，1-7月的监控报告提纲与文件通知要求不符，1-10月的监控已进行修正。总体来看监控工作开展情况一般，通过开展监控工作，难以看出项目具体实施进度，</w:t>
      </w:r>
      <w:r>
        <w:rPr>
          <w:rFonts w:hint="eastAsia"/>
          <w:lang w:val="en-US" w:eastAsia="zh-CN"/>
        </w:rPr>
        <w:t>虽</w:t>
      </w:r>
      <w:r>
        <w:rPr>
          <w:rFonts w:hint="default"/>
          <w:lang w:val="en-US" w:eastAsia="zh-CN"/>
        </w:rPr>
        <w:t>面临的问题情况</w:t>
      </w:r>
      <w:r>
        <w:rPr>
          <w:rFonts w:hint="eastAsia"/>
          <w:lang w:val="en-US" w:eastAsia="zh-CN"/>
        </w:rPr>
        <w:t>描述</w:t>
      </w:r>
      <w:r>
        <w:rPr>
          <w:rFonts w:hint="default"/>
          <w:lang w:val="en-US" w:eastAsia="zh-CN"/>
        </w:rPr>
        <w:t>较为清楚，但两次监控的问题及解决措施完全一样，体现出监控的纠偏作用未能得到有效发挥。</w:t>
      </w:r>
    </w:p>
    <w:p>
      <w:pPr>
        <w:rPr>
          <w:rFonts w:hint="eastAsia"/>
          <w:lang w:val="en-US" w:eastAsia="zh-CN"/>
        </w:rPr>
      </w:pPr>
      <w:r>
        <w:rPr>
          <w:rFonts w:hint="eastAsia"/>
          <w:b/>
          <w:bCs/>
          <w:lang w:val="en-US" w:eastAsia="zh-CN"/>
        </w:rPr>
        <w:t>三是项目支出绩效评价结果可应用性不强。</w:t>
      </w:r>
      <w:r>
        <w:rPr>
          <w:rFonts w:hint="default"/>
          <w:lang w:val="en-US" w:eastAsia="zh-CN"/>
        </w:rPr>
        <w:t>南昌市东湖区妇女联合会按市财政局2021年度相关文件要求开展了2020年度项目及部门整体支出绩效评价工作，并按要求于2021年7月22日在东湖区政府网站进行了项目支出绩效评价报告公开。经查看上述绩效评价报告内容，项目支出绩效评价报告撰写较为简略，虽然总体分析完成了项目组织管理情况及项目绩效实现情况，并分析了项目执行过程中存在的问题，给出了相关改进措施，但问题分析并未针对项目开展，而是提出了绩效评价能力有待提升的问题，项目支出绩效评价结果</w:t>
      </w:r>
      <w:r>
        <w:rPr>
          <w:rFonts w:hint="eastAsia"/>
          <w:lang w:val="en-US" w:eastAsia="zh-CN"/>
        </w:rPr>
        <w:t>可</w:t>
      </w:r>
      <w:r>
        <w:rPr>
          <w:rFonts w:hint="default"/>
          <w:lang w:val="en-US" w:eastAsia="zh-CN"/>
        </w:rPr>
        <w:t>应用性不强</w:t>
      </w:r>
      <w:r>
        <w:rPr>
          <w:rFonts w:hint="eastAsia"/>
          <w:lang w:val="en-US" w:eastAsia="zh-CN"/>
        </w:rPr>
        <w:t>。</w:t>
      </w:r>
    </w:p>
    <w:p>
      <w:pPr>
        <w:pStyle w:val="4"/>
        <w:bidi w:val="0"/>
        <w:rPr>
          <w:rFonts w:hint="default"/>
          <w:lang w:val="en-US" w:eastAsia="zh-CN"/>
        </w:rPr>
      </w:pPr>
      <w:r>
        <w:rPr>
          <w:rFonts w:hint="eastAsia"/>
          <w:lang w:val="en-US" w:eastAsia="zh-CN"/>
        </w:rPr>
        <w:t>2.预决算编制完整准确性待提升，政府采购执行率偏低</w:t>
      </w:r>
    </w:p>
    <w:p>
      <w:pPr>
        <w:pStyle w:val="5"/>
        <w:bidi w:val="0"/>
        <w:rPr>
          <w:rFonts w:hint="default"/>
          <w:lang w:val="en-US" w:eastAsia="zh-CN"/>
        </w:rPr>
      </w:pPr>
      <w:r>
        <w:rPr>
          <w:rFonts w:hint="eastAsia"/>
          <w:lang w:val="en-US" w:eastAsia="zh-CN"/>
        </w:rPr>
        <w:t>（1）预决算报表编制完整准确性待提升</w:t>
      </w:r>
    </w:p>
    <w:p>
      <w:pPr>
        <w:bidi w:val="0"/>
        <w:rPr>
          <w:rFonts w:hint="eastAsia"/>
          <w:lang w:val="en-US" w:eastAsia="zh-CN"/>
        </w:rPr>
      </w:pPr>
      <w:r>
        <w:rPr>
          <w:rFonts w:hint="eastAsia"/>
          <w:lang w:val="en-US" w:eastAsia="zh-CN"/>
        </w:rPr>
        <w:t>根据区妇联2021年度预算指标下达通知书、2021年项目登记表、以及会计凭证，均可知2021年区妇联安排有妇联事务工作经费项目支出，但在决算报表中并未体现，而是全部体现在基本支出中；截至2021年12月31日，区妇联实有在职人员4名，但决算报表基本数字表（F02）在在职人数为3人；根据区妇联2021年度部门预算编制说明，2021年区妇联安排三公经费预算0.5万元，但决算报表一般公共预算财政拨款“三公”经费支出决算表（CA07）中年初预算书及决算数均未填写。因此南昌市东湖区妇女联合会预决算报表未能真实、准确反映单位经济信息，且编制完整性有待提升。</w:t>
      </w:r>
    </w:p>
    <w:p>
      <w:pPr>
        <w:pStyle w:val="5"/>
        <w:bidi w:val="0"/>
        <w:rPr>
          <w:rFonts w:hint="eastAsia"/>
          <w:lang w:val="en-US" w:eastAsia="zh-CN"/>
        </w:rPr>
      </w:pPr>
      <w:r>
        <w:rPr>
          <w:rFonts w:hint="eastAsia"/>
          <w:lang w:val="en-US" w:eastAsia="zh-CN"/>
        </w:rPr>
        <w:t>（2）政府采购执行率偏低</w:t>
      </w:r>
    </w:p>
    <w:p>
      <w:pPr>
        <w:bidi w:val="0"/>
        <w:rPr>
          <w:rFonts w:hint="eastAsia"/>
          <w:lang w:val="en-US" w:eastAsia="zh-CN"/>
        </w:rPr>
      </w:pPr>
      <w:r>
        <w:rPr>
          <w:rFonts w:hint="eastAsia"/>
          <w:lang w:val="en-US" w:eastAsia="zh-CN"/>
        </w:rPr>
        <w:t>南昌市东湖区妇女联合会2021年度年初政府采购预算安排13.6万元，实际使用0.84万元，政府采购执行率6.17%，政府采购执行率偏低。</w:t>
      </w:r>
    </w:p>
    <w:p>
      <w:pPr>
        <w:pStyle w:val="4"/>
        <w:bidi w:val="0"/>
        <w:rPr>
          <w:rFonts w:hint="eastAsia"/>
          <w:lang w:val="en-US" w:eastAsia="zh-CN"/>
        </w:rPr>
      </w:pPr>
      <w:r>
        <w:rPr>
          <w:rFonts w:hint="eastAsia"/>
          <w:lang w:val="en-US" w:eastAsia="zh-CN"/>
        </w:rPr>
        <w:t>3.财务管理力度待加强，项目列支形式待规范</w:t>
      </w:r>
    </w:p>
    <w:p>
      <w:pPr>
        <w:pStyle w:val="5"/>
        <w:bidi w:val="0"/>
        <w:rPr>
          <w:rFonts w:hint="eastAsia"/>
          <w:lang w:val="en-US" w:eastAsia="zh-CN"/>
        </w:rPr>
      </w:pPr>
      <w:r>
        <w:rPr>
          <w:rFonts w:hint="eastAsia"/>
          <w:lang w:val="en-US" w:eastAsia="zh-CN"/>
        </w:rPr>
        <w:t>（1）制单与审核职责未进行分离</w:t>
      </w:r>
    </w:p>
    <w:p>
      <w:pPr>
        <w:rPr>
          <w:rFonts w:hint="default"/>
          <w:lang w:val="en-US" w:eastAsia="zh-CN"/>
        </w:rPr>
      </w:pPr>
      <w:r>
        <w:rPr>
          <w:rFonts w:hint="default"/>
          <w:lang w:val="en-US" w:eastAsia="zh-CN"/>
        </w:rPr>
        <w:t>经查看</w:t>
      </w:r>
      <w:r>
        <w:rPr>
          <w:rFonts w:hint="eastAsia"/>
          <w:lang w:val="en-US" w:eastAsia="zh-CN"/>
        </w:rPr>
        <w:t>区妇联</w:t>
      </w:r>
      <w:r>
        <w:rPr>
          <w:rFonts w:hint="default"/>
          <w:lang w:val="en-US" w:eastAsia="zh-CN"/>
        </w:rPr>
        <w:t>2021年会计凭证，</w:t>
      </w:r>
      <w:r>
        <w:rPr>
          <w:rFonts w:hint="eastAsia" w:ascii="Times New Roman" w:eastAsia="仿宋_GB2312"/>
          <w:lang w:val="en-US" w:eastAsia="zh-CN"/>
        </w:rPr>
        <w:t>会计主管、制单、审核人、记账人均</w:t>
      </w:r>
      <w:r>
        <w:rPr>
          <w:rFonts w:hint="default"/>
          <w:lang w:val="en-US" w:eastAsia="zh-CN"/>
        </w:rPr>
        <w:t>为同一人。违背了《中华人民共和国会计法》第二十七条规定的“各单位应当建立、健全本单位内部会计监督制度。记账人员与经济业务事项和会计事项的审批人员、经办人员、财物保管人员的职责权限应当明确，并相互分离、相互制约”。</w:t>
      </w:r>
    </w:p>
    <w:p>
      <w:pPr>
        <w:pStyle w:val="5"/>
        <w:bidi w:val="0"/>
        <w:rPr>
          <w:rFonts w:hint="default"/>
          <w:lang w:val="en-US" w:eastAsia="zh-CN"/>
        </w:rPr>
      </w:pPr>
      <w:r>
        <w:rPr>
          <w:rFonts w:hint="eastAsia"/>
          <w:lang w:val="en-US" w:eastAsia="zh-CN"/>
        </w:rPr>
        <w:t>（2）部分项目资金使用不规范</w:t>
      </w:r>
    </w:p>
    <w:p>
      <w:pPr>
        <w:bidi w:val="0"/>
        <w:rPr>
          <w:rFonts w:hint="eastAsia"/>
          <w:lang w:val="en-US" w:eastAsia="zh-CN"/>
        </w:rPr>
      </w:pPr>
      <w:r>
        <w:rPr>
          <w:rFonts w:hint="eastAsia"/>
          <w:lang w:val="en-US" w:eastAsia="zh-CN"/>
        </w:rPr>
        <w:t>通过核查看区妇联项目支出记账凭证，发现存在部分不应从项目列支的支出，如从妇联事务工作经费中列支聘用人员烤火费、劳务费、在职人员用餐费、财务咨询费、职工互助保险，以及购买沙发、茶几等固定资产等。</w:t>
      </w:r>
    </w:p>
    <w:p>
      <w:pPr>
        <w:pStyle w:val="5"/>
        <w:bidi w:val="0"/>
        <w:rPr>
          <w:rFonts w:hint="default"/>
          <w:lang w:val="en-US" w:eastAsia="zh-CN"/>
        </w:rPr>
      </w:pPr>
      <w:r>
        <w:rPr>
          <w:rFonts w:hint="eastAsia"/>
          <w:lang w:val="en-US" w:eastAsia="zh-CN"/>
        </w:rPr>
        <w:t>（3）部分支出部门经济分类不准确</w:t>
      </w:r>
    </w:p>
    <w:p>
      <w:pPr>
        <w:bidi w:val="0"/>
        <w:rPr>
          <w:rFonts w:hint="eastAsia"/>
          <w:lang w:val="en-US" w:eastAsia="zh-CN"/>
        </w:rPr>
      </w:pPr>
      <w:r>
        <w:rPr>
          <w:rFonts w:hint="eastAsia"/>
          <w:lang w:val="en-US" w:eastAsia="zh-CN"/>
        </w:rPr>
        <w:t>经查看区妇联2021年记账凭证，发现部分支出部门经济分类不准确。如8月第18号记账凭证，支付在职人员话补，计入印刷费、维修费；如12月第25号记账凭证，代扣职工医社保计入委托业务费；12月第35号记账凭证，购沙发、茶几计入职工基本医疗保险缴费、委托业务费等。部分经济分类不正确，容易导致决算报表无法反映单位真实经济信息。</w:t>
      </w:r>
    </w:p>
    <w:p>
      <w:pPr>
        <w:pStyle w:val="4"/>
        <w:bidi w:val="0"/>
        <w:rPr>
          <w:rFonts w:hint="eastAsia"/>
          <w:lang w:val="en-US" w:eastAsia="zh-CN"/>
        </w:rPr>
      </w:pPr>
      <w:r>
        <w:rPr>
          <w:rFonts w:hint="eastAsia"/>
          <w:lang w:val="en-US" w:eastAsia="zh-CN"/>
        </w:rPr>
        <w:t>4.资产管理制度不完整，可操作性偏低</w:t>
      </w:r>
    </w:p>
    <w:p>
      <w:pPr>
        <w:rPr>
          <w:rFonts w:hint="default"/>
          <w:lang w:val="en-US" w:eastAsia="zh-CN"/>
        </w:rPr>
      </w:pPr>
      <w:r>
        <w:rPr>
          <w:rFonts w:hint="eastAsia"/>
          <w:lang w:val="en-US" w:eastAsia="zh-CN"/>
        </w:rPr>
        <w:t>经查看区妇联提供的《东湖区妇联资产管理制度》，仅对提高资产使用效益、加强管理、资产处置等作出了笼统规定，并未对固定资产具体采购申请流程、使用管理等作出具体规定，总体来看该制度不够完整，可供实际资产管理工作中具体操作参考的作用不大。</w:t>
      </w:r>
    </w:p>
    <w:p>
      <w:pPr>
        <w:pStyle w:val="3"/>
        <w:bidi w:val="0"/>
        <w:rPr>
          <w:rFonts w:hint="eastAsia"/>
          <w:lang w:val="en-US" w:eastAsia="zh-CN"/>
        </w:rPr>
      </w:pPr>
      <w:bookmarkStart w:id="13" w:name="_Toc19567"/>
      <w:r>
        <w:rPr>
          <w:rFonts w:hint="eastAsia"/>
          <w:lang w:val="en-US" w:eastAsia="zh-CN"/>
        </w:rPr>
        <w:t>（二）改进的方向和具体措施</w:t>
      </w:r>
      <w:bookmarkEnd w:id="13"/>
    </w:p>
    <w:p>
      <w:pPr>
        <w:pStyle w:val="4"/>
        <w:bidi w:val="0"/>
        <w:rPr>
          <w:rFonts w:hint="default"/>
          <w:lang w:val="en-US" w:eastAsia="zh-CN"/>
        </w:rPr>
      </w:pPr>
      <w:r>
        <w:rPr>
          <w:rFonts w:hint="eastAsia"/>
          <w:lang w:val="en-US" w:eastAsia="zh-CN"/>
        </w:rPr>
        <w:t>1.提高预算绩效管理能力，提升绩效管理应用水平</w:t>
      </w:r>
    </w:p>
    <w:p>
      <w:pPr>
        <w:bidi w:val="0"/>
        <w:rPr>
          <w:rFonts w:hint="default"/>
          <w:lang w:val="en-US" w:eastAsia="zh-CN"/>
        </w:rPr>
      </w:pPr>
      <w:r>
        <w:rPr>
          <w:rFonts w:hint="eastAsia"/>
          <w:lang w:val="en-US" w:eastAsia="zh-CN"/>
        </w:rPr>
        <w:t>区妇联应当加强预算绩效管理相关知识学习，提升绩效目标设置水平，一方面是提升绩效指标设置规范性，另一方面则是提升项目绩效目标完整度，确保绩效目标对部门履职、项目实施的指引作用得到有效发挥。同时，在开展项目及部门整体监控和自评工作时，应当准确对预算执行情况以及政策、项目实施效果开展，并且落实绩效问题整改责任制，加强绩效评价结果应用。避免重复描述相同问题但不推进解决，或是提出与项目具体实施无关的问题，导致绩效评价或监控作用无法得到有效发挥。</w:t>
      </w:r>
    </w:p>
    <w:p>
      <w:pPr>
        <w:pStyle w:val="4"/>
        <w:bidi w:val="0"/>
        <w:rPr>
          <w:rFonts w:hint="eastAsia"/>
          <w:lang w:val="en-US" w:eastAsia="zh-CN"/>
        </w:rPr>
      </w:pPr>
      <w:r>
        <w:rPr>
          <w:rFonts w:hint="eastAsia"/>
          <w:lang w:val="en-US" w:eastAsia="zh-CN"/>
        </w:rPr>
        <w:t>2.严谨编制预决算，提升政府采购执行</w:t>
      </w:r>
    </w:p>
    <w:p>
      <w:pPr>
        <w:pStyle w:val="5"/>
        <w:bidi w:val="0"/>
        <w:rPr>
          <w:rFonts w:hint="default"/>
          <w:lang w:val="en-US" w:eastAsia="zh-CN"/>
        </w:rPr>
      </w:pPr>
      <w:r>
        <w:rPr>
          <w:rFonts w:hint="eastAsia"/>
          <w:lang w:val="en-US" w:eastAsia="zh-CN"/>
        </w:rPr>
        <w:t>（1）严格按照实际预决算编制报表</w:t>
      </w:r>
    </w:p>
    <w:p>
      <w:pPr>
        <w:rPr>
          <w:rFonts w:hint="default"/>
          <w:lang w:val="en-US" w:eastAsia="zh-CN"/>
        </w:rPr>
      </w:pPr>
      <w:r>
        <w:rPr>
          <w:rFonts w:hint="default"/>
          <w:lang w:val="en-US" w:eastAsia="zh-CN"/>
        </w:rPr>
        <w:t>《中华人民共和国预算法》第七十五条规定</w:t>
      </w:r>
      <w:r>
        <w:rPr>
          <w:rFonts w:hint="eastAsia"/>
          <w:lang w:val="en-US" w:eastAsia="zh-CN"/>
        </w:rPr>
        <w:t>：“</w:t>
      </w:r>
      <w:r>
        <w:rPr>
          <w:rFonts w:hint="default"/>
          <w:lang w:val="en-US" w:eastAsia="zh-CN"/>
        </w:rPr>
        <w:t>编制决算草案</w:t>
      </w:r>
      <w:r>
        <w:rPr>
          <w:rFonts w:hint="eastAsia"/>
          <w:lang w:val="en-US" w:eastAsia="zh-CN"/>
        </w:rPr>
        <w:t>，</w:t>
      </w:r>
      <w:r>
        <w:rPr>
          <w:rFonts w:hint="default"/>
          <w:lang w:val="en-US" w:eastAsia="zh-CN"/>
        </w:rPr>
        <w:t>必须符合法律、行政法规</w:t>
      </w:r>
      <w:r>
        <w:rPr>
          <w:rFonts w:hint="eastAsia"/>
          <w:lang w:val="en-US" w:eastAsia="zh-CN"/>
        </w:rPr>
        <w:t>，</w:t>
      </w:r>
      <w:r>
        <w:rPr>
          <w:rFonts w:hint="default"/>
          <w:lang w:val="en-US" w:eastAsia="zh-CN"/>
        </w:rPr>
        <w:t>做到收支真实、数额准确、内容完整、报送及时</w:t>
      </w:r>
      <w:r>
        <w:rPr>
          <w:rFonts w:hint="eastAsia"/>
          <w:lang w:val="en-US" w:eastAsia="zh-CN"/>
        </w:rPr>
        <w:t>”，南昌市东湖区妇女联合会</w:t>
      </w:r>
      <w:r>
        <w:rPr>
          <w:rFonts w:hint="default"/>
          <w:lang w:val="en-US" w:eastAsia="zh-CN"/>
        </w:rPr>
        <w:t>编制预决算报表时应严格按照部门实际预算及及其执行情况填报</w:t>
      </w:r>
      <w:r>
        <w:rPr>
          <w:rFonts w:hint="eastAsia"/>
          <w:lang w:val="en-US" w:eastAsia="zh-CN"/>
        </w:rPr>
        <w:t>，</w:t>
      </w:r>
      <w:r>
        <w:rPr>
          <w:rFonts w:hint="default"/>
          <w:lang w:val="en-US" w:eastAsia="zh-CN"/>
        </w:rPr>
        <w:t>确保收支真实</w:t>
      </w:r>
      <w:r>
        <w:rPr>
          <w:rFonts w:hint="eastAsia"/>
          <w:lang w:val="en-US" w:eastAsia="zh-CN"/>
        </w:rPr>
        <w:t>，</w:t>
      </w:r>
      <w:r>
        <w:rPr>
          <w:rFonts w:hint="default"/>
          <w:lang w:val="en-US" w:eastAsia="zh-CN"/>
        </w:rPr>
        <w:t>数额准确</w:t>
      </w:r>
      <w:r>
        <w:rPr>
          <w:rFonts w:hint="eastAsia"/>
          <w:lang w:val="en-US" w:eastAsia="zh-CN"/>
        </w:rPr>
        <w:t>，</w:t>
      </w:r>
      <w:r>
        <w:rPr>
          <w:rFonts w:hint="default"/>
          <w:lang w:val="en-US" w:eastAsia="zh-CN"/>
        </w:rPr>
        <w:t>内容完整。第十三条规定：</w:t>
      </w:r>
      <w:r>
        <w:rPr>
          <w:rFonts w:hint="eastAsia"/>
          <w:lang w:val="en-US" w:eastAsia="zh-CN"/>
        </w:rPr>
        <w:t>“</w:t>
      </w:r>
      <w:r>
        <w:rPr>
          <w:rFonts w:hint="default"/>
          <w:lang w:val="en-US" w:eastAsia="zh-CN"/>
        </w:rPr>
        <w:t>经人民代表大会批准的预算</w:t>
      </w:r>
      <w:r>
        <w:rPr>
          <w:rFonts w:hint="eastAsia"/>
          <w:lang w:val="en-US" w:eastAsia="zh-CN"/>
        </w:rPr>
        <w:t>，</w:t>
      </w:r>
      <w:r>
        <w:rPr>
          <w:rFonts w:hint="default"/>
          <w:lang w:val="en-US" w:eastAsia="zh-CN"/>
        </w:rPr>
        <w:t>非经法定程序</w:t>
      </w:r>
      <w:r>
        <w:rPr>
          <w:rFonts w:hint="eastAsia"/>
          <w:lang w:val="en-US" w:eastAsia="zh-CN"/>
        </w:rPr>
        <w:t>，</w:t>
      </w:r>
      <w:r>
        <w:rPr>
          <w:rFonts w:hint="default"/>
          <w:lang w:val="en-US" w:eastAsia="zh-CN"/>
        </w:rPr>
        <w:t>不得调整。各级政府、各部门、各单位的支出必须以经批准的预算为依据</w:t>
      </w:r>
      <w:r>
        <w:rPr>
          <w:rFonts w:hint="eastAsia"/>
          <w:lang w:val="en-US" w:eastAsia="zh-CN"/>
        </w:rPr>
        <w:t>，</w:t>
      </w:r>
      <w:r>
        <w:rPr>
          <w:rFonts w:hint="default"/>
          <w:lang w:val="en-US" w:eastAsia="zh-CN"/>
        </w:rPr>
        <w:t>未列入预算的不得支出</w:t>
      </w:r>
      <w:r>
        <w:rPr>
          <w:rFonts w:hint="eastAsia"/>
          <w:lang w:val="en-US" w:eastAsia="zh-CN"/>
        </w:rPr>
        <w:t>”，</w:t>
      </w:r>
      <w:r>
        <w:rPr>
          <w:rFonts w:hint="default"/>
          <w:lang w:val="en-US" w:eastAsia="zh-CN"/>
        </w:rPr>
        <w:t>因此</w:t>
      </w:r>
      <w:r>
        <w:rPr>
          <w:rFonts w:hint="eastAsia"/>
          <w:lang w:val="en-US" w:eastAsia="zh-CN"/>
        </w:rPr>
        <w:t>南昌市东湖区妇女联合会</w:t>
      </w:r>
      <w:r>
        <w:rPr>
          <w:rFonts w:hint="default"/>
          <w:lang w:val="en-US" w:eastAsia="zh-CN"/>
        </w:rPr>
        <w:t>应当严格按照预算批复的用途使用</w:t>
      </w:r>
      <w:r>
        <w:rPr>
          <w:rFonts w:hint="eastAsia"/>
          <w:lang w:val="en-US" w:eastAsia="zh-CN"/>
        </w:rPr>
        <w:t>管理资金，同时确保决算报表能够反映单位真实经济信息</w:t>
      </w:r>
      <w:r>
        <w:rPr>
          <w:rFonts w:hint="default"/>
          <w:lang w:val="en-US" w:eastAsia="zh-CN"/>
        </w:rPr>
        <w:t>。</w:t>
      </w:r>
    </w:p>
    <w:p>
      <w:pPr>
        <w:pStyle w:val="5"/>
        <w:bidi w:val="0"/>
        <w:rPr>
          <w:rFonts w:hint="eastAsia"/>
          <w:lang w:val="en-US" w:eastAsia="zh-CN"/>
        </w:rPr>
      </w:pPr>
      <w:r>
        <w:rPr>
          <w:rFonts w:hint="eastAsia"/>
          <w:lang w:val="en-US" w:eastAsia="zh-CN"/>
        </w:rPr>
        <w:t>（2）科学编制政府采购预算</w:t>
      </w:r>
    </w:p>
    <w:p>
      <w:pPr>
        <w:rPr>
          <w:rFonts w:hint="eastAsia"/>
          <w:lang w:val="en-US" w:eastAsia="zh-CN"/>
        </w:rPr>
      </w:pPr>
      <w:r>
        <w:rPr>
          <w:rFonts w:hint="eastAsia"/>
          <w:lang w:val="en-US" w:eastAsia="zh-CN"/>
        </w:rPr>
        <w:t>南昌市东湖区妇女联合会应当增强预算管理意识，严格按照预算编制的相关制度和要求，进一步提高预算编制的科学性、合理性、严谨性和可控性。政府采购预算编制前根据年度内单位可预见的工作任务，确定单位年度政府预算目标，细化预算指标，科学合理编制政府采购预算。进行相应的市场调查，了解项目需求采购商品市场价格，根据实际采购需求数量，确定政府采购总体预算。</w:t>
      </w:r>
    </w:p>
    <w:p>
      <w:pPr>
        <w:pStyle w:val="4"/>
        <w:bidi w:val="0"/>
        <w:rPr>
          <w:rFonts w:hint="default"/>
          <w:lang w:val="en-US" w:eastAsia="zh-CN"/>
        </w:rPr>
      </w:pPr>
      <w:r>
        <w:rPr>
          <w:rFonts w:hint="eastAsia"/>
          <w:lang w:val="en-US" w:eastAsia="zh-CN"/>
        </w:rPr>
        <w:t>3.加强财务管理力度，规范项目资金管理</w:t>
      </w:r>
    </w:p>
    <w:p>
      <w:pPr>
        <w:pStyle w:val="5"/>
        <w:bidi w:val="0"/>
        <w:rPr>
          <w:rFonts w:hint="eastAsia"/>
          <w:lang w:val="en-US" w:eastAsia="zh-CN"/>
        </w:rPr>
      </w:pPr>
      <w:r>
        <w:rPr>
          <w:rFonts w:hint="eastAsia"/>
          <w:lang w:val="en-US" w:eastAsia="zh-CN"/>
        </w:rPr>
        <w:t>（1）增强管理制度落实力度</w:t>
      </w:r>
    </w:p>
    <w:p>
      <w:pPr>
        <w:bidi w:val="0"/>
        <w:rPr>
          <w:rFonts w:hint="eastAsia"/>
          <w:lang w:val="en-US" w:eastAsia="zh-CN"/>
        </w:rPr>
      </w:pPr>
      <w:r>
        <w:rPr>
          <w:rFonts w:hint="eastAsia"/>
          <w:lang w:val="en-US" w:eastAsia="zh-CN"/>
        </w:rPr>
        <w:t>区妇联应当落实好《中华人民共和国会计法》相关要求，确保记账人员与经济业务事项和会计事项的审批人员、经办人员、财物保管人员的职责权限明确，并相互分离、相互制约。以及满足《关于全面推进行政事业单位内部控制建设的指导意见》（财会〔2015〕24号）提出的“对经济和业务活动的决策、执行、监督，必须明确分工、相互分离、分别行权，防止职责混淆、权限交叉”任务要求。</w:t>
      </w:r>
    </w:p>
    <w:p>
      <w:pPr>
        <w:pStyle w:val="5"/>
        <w:bidi w:val="0"/>
        <w:rPr>
          <w:rFonts w:hint="default"/>
          <w:lang w:val="en-US" w:eastAsia="zh-CN"/>
        </w:rPr>
      </w:pPr>
      <w:r>
        <w:rPr>
          <w:rFonts w:hint="eastAsia"/>
          <w:lang w:val="en-US" w:eastAsia="zh-CN"/>
        </w:rPr>
        <w:t>（2）加强项目资金管理</w:t>
      </w:r>
    </w:p>
    <w:p>
      <w:pPr>
        <w:bidi w:val="0"/>
        <w:rPr>
          <w:rFonts w:hint="default"/>
          <w:lang w:val="en-US" w:eastAsia="zh-CN"/>
        </w:rPr>
      </w:pPr>
      <w:r>
        <w:rPr>
          <w:rFonts w:hint="eastAsia"/>
          <w:lang w:val="en-US" w:eastAsia="zh-CN"/>
        </w:rPr>
        <w:t>在资金使用环节，区妇联应当做好资金使用管理，对项目资金的使用进行更加科学、严格的财务监管核查，使项目资金的管理更加严谨、财务核算更加规范，促进项目资金使用的制度化、科学化、高效化。同时应严格区分项目所属开支与其他开支，发挥项目专账的效力，保证项目明细账内反映的支出均属项目相关开支。</w:t>
      </w:r>
    </w:p>
    <w:p>
      <w:pPr>
        <w:bidi w:val="0"/>
        <w:rPr>
          <w:rFonts w:hint="default"/>
          <w:b/>
          <w:bCs/>
          <w:lang w:val="en-US" w:eastAsia="zh-CN"/>
        </w:rPr>
      </w:pPr>
      <w:r>
        <w:rPr>
          <w:rFonts w:hint="eastAsia"/>
          <w:b/>
          <w:bCs/>
          <w:lang w:val="en-US" w:eastAsia="zh-CN"/>
        </w:rPr>
        <w:t>（3）正确填写支出经济分类</w:t>
      </w:r>
    </w:p>
    <w:p>
      <w:pPr>
        <w:bidi w:val="0"/>
        <w:rPr>
          <w:rFonts w:hint="eastAsia"/>
          <w:lang w:val="en-US" w:eastAsia="zh-CN"/>
        </w:rPr>
      </w:pPr>
      <w:r>
        <w:rPr>
          <w:rFonts w:hint="eastAsia"/>
          <w:lang w:val="en-US" w:eastAsia="zh-CN"/>
        </w:rPr>
        <w:t>区妇联应当积极落实好《财政部关于印发&lt;支出经济分类科目改革方案&gt;的通知》（财预〔2017〕98号）文件要求。严格按照资金性质填写支出类别，确保资金实际使用情况与会计核算信息和预决算报表相符，提升决算报表数据真实性，正确反映单位经济信息。</w:t>
      </w:r>
    </w:p>
    <w:p>
      <w:pPr>
        <w:pStyle w:val="4"/>
        <w:bidi w:val="0"/>
        <w:rPr>
          <w:rFonts w:hint="default"/>
          <w:lang w:val="en-US" w:eastAsia="zh-CN"/>
        </w:rPr>
      </w:pPr>
      <w:r>
        <w:rPr>
          <w:rFonts w:hint="eastAsia"/>
          <w:lang w:val="en-US" w:eastAsia="zh-CN"/>
        </w:rPr>
        <w:t>4.加强固定资产管理，完善资产管理制度</w:t>
      </w:r>
    </w:p>
    <w:p>
      <w:pPr>
        <w:rPr>
          <w:rFonts w:hint="default"/>
          <w:lang w:val="en-US" w:eastAsia="zh-CN"/>
        </w:rPr>
      </w:pPr>
      <w:r>
        <w:rPr>
          <w:rFonts w:hint="eastAsia"/>
          <w:lang w:val="en-US" w:eastAsia="zh-CN"/>
        </w:rPr>
        <w:t>南昌市东湖区妇女联合会应当严格按照《关于加强行政事业单位固定资产管理的通知》（财资〔2020〕97号）进行固定资产管理，按文件精神根据工作需要和实际情况，建立健全固定资产管理实施办法或分类制定固定资产管理规定，进一步细化管理要求。认真对照管理要求，针对固定资产验收登记、核算入账、领用移交、维修保管、清查盘点、出租出借、对外投资、回收处置、绩效管理等重点环节，查漏补缺，明确操作规程，确保流程清晰、管理规范、责任可查。</w:t>
      </w:r>
    </w:p>
    <w:p>
      <w:pPr>
        <w:pStyle w:val="2"/>
        <w:numPr>
          <w:ilvl w:val="0"/>
          <w:numId w:val="1"/>
        </w:numPr>
        <w:bidi w:val="0"/>
        <w:rPr>
          <w:rFonts w:hint="eastAsia"/>
          <w:lang w:val="en-US" w:eastAsia="zh-CN"/>
        </w:rPr>
      </w:pPr>
      <w:bookmarkStart w:id="14" w:name="_Toc12777"/>
      <w:bookmarkStart w:id="15" w:name="_Toc19811"/>
      <w:r>
        <w:rPr>
          <w:rFonts w:hint="eastAsia"/>
          <w:lang w:val="en-US" w:eastAsia="zh-CN"/>
        </w:rPr>
        <w:t>其他需要说明的问题</w:t>
      </w:r>
      <w:bookmarkEnd w:id="14"/>
      <w:bookmarkEnd w:id="15"/>
    </w:p>
    <w:p>
      <w:pPr>
        <w:bidi w:val="0"/>
        <w:rPr>
          <w:rFonts w:hint="default"/>
          <w:lang w:val="en-US" w:eastAsia="zh-CN"/>
        </w:rPr>
      </w:pPr>
      <w:r>
        <w:rPr>
          <w:rFonts w:hint="eastAsia"/>
          <w:lang w:val="en-US" w:eastAsia="zh-CN"/>
        </w:rPr>
        <w:t>无。</w:t>
      </w:r>
    </w:p>
    <w:sectPr>
      <w:headerReference r:id="rId10" w:type="first"/>
      <w:footerReference r:id="rId12" w:type="first"/>
      <w:footerReference r:id="rId11" w:type="default"/>
      <w:pgSz w:w="11906" w:h="16838"/>
      <w:pgMar w:top="2098" w:right="1474" w:bottom="1871" w:left="1587"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embedRegular r:id="rId1" w:fontKey="{3E50B93C-F2E0-90D8-A405-E2634883CD85}"/>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仿宋_GB2312">
    <w:altName w:val="仿宋"/>
    <w:panose1 w:val="00000000000000000000"/>
    <w:charset w:val="86"/>
    <w:family w:val="modern"/>
    <w:pitch w:val="default"/>
    <w:sig w:usb0="00000000" w:usb1="00000000" w:usb2="00000010" w:usb3="00000000" w:csb0="00040000" w:csb1="00000000"/>
    <w:embedRegular r:id="rId2" w:fontKey="{58351802-F9A0-5A05-A405-E263A86AE4EC}"/>
  </w:font>
  <w:font w:name="仿宋">
    <w:panose1 w:val="02010609060101010101"/>
    <w:charset w:val="86"/>
    <w:family w:val="auto"/>
    <w:pitch w:val="default"/>
    <w:sig w:usb0="00000000" w:usb1="00000000" w:usb2="00000016" w:usb3="00000000" w:csb0="00040001" w:csb1="00000000"/>
  </w:font>
  <w:font w:name="方正楷体简体">
    <w:panose1 w:val="02000000000000000000"/>
    <w:charset w:val="86"/>
    <w:family w:val="auto"/>
    <w:pitch w:val="default"/>
    <w:sig w:usb0="00000000" w:usb1="00000000" w:usb2="00000012" w:usb3="00000000" w:csb0="00040001" w:csb1="00000000"/>
  </w:font>
  <w:font w:name="方正小标宋简体字">
    <w:altName w:val="宋体"/>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00000000" w:usb1="00000000" w:usb2="00000000" w:usb3="00000000" w:csb0="00040000" w:csb1="00000000"/>
    <w:embedRegular r:id="rId3" w:fontKey="{26DD8A59-9995-ED19-A405-E263E8941851}"/>
  </w:font>
  <w:font w:name="楷体">
    <w:panose1 w:val="02010609060101010101"/>
    <w:charset w:val="86"/>
    <w:family w:val="auto"/>
    <w:pitch w:val="default"/>
    <w:sig w:usb0="00000000" w:usb1="00000000" w:usb2="00000016" w:usb3="00000000" w:csb0="00040001" w:csb1="00000000"/>
    <w:embedRegular r:id="rId4" w:fontKey="{38A4D1E4-E9C5-2581-A405-E2633E054E3C}"/>
  </w:font>
  <w:font w:name="微软雅黑">
    <w:panose1 w:val="020B0503020204020204"/>
    <w:charset w:val="86"/>
    <w:family w:val="auto"/>
    <w:pitch w:val="default"/>
    <w:sig w:usb0="00000000" w:usb1="00000000" w:usb2="00000016" w:usb3="00000000" w:csb0="0004001F" w:csb1="00000000"/>
  </w:font>
  <w:font w:name="Tahoma">
    <w:panose1 w:val="020B0604030504040204"/>
    <w:charset w:val="00"/>
    <w:family w:val="auto"/>
    <w:pitch w:val="default"/>
    <w:sig w:usb0="00000000" w:usb1="00000000"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eastAsia="宋体"/>
                              <w:lang w:eastAsia="zh-CN"/>
                            </w:rPr>
                            <w:t xml:space="preserve">—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r>
                            <w:rPr>
                              <w:rFonts w:hint="eastAsia" w:eastAsia="宋体"/>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eastAsia="宋体"/>
                        <w:lang w:eastAsia="zh-CN"/>
                      </w:rPr>
                      <w:t xml:space="preserve">—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r>
                      <w:rPr>
                        <w:rFonts w:hint="eastAsia" w:eastAsia="宋体"/>
                        <w:lang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eastAsia="宋体"/>
                              <w:lang w:eastAsia="zh-CN"/>
                            </w:rPr>
                            <w:t xml:space="preserve">—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r>
                            <w:rPr>
                              <w:rFonts w:hint="eastAsia" w:eastAsia="宋体"/>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eastAsia="宋体"/>
                        <w:lang w:eastAsia="zh-CN"/>
                      </w:rPr>
                      <w:t xml:space="preserve">—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r>
                      <w:rPr>
                        <w:rFonts w:hint="eastAsia" w:eastAsia="宋体"/>
                        <w:lang w:eastAsia="zh-CN"/>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pBdr>
        <w:bottom w:val="none" w:color="auto" w:sz="0" w:space="1"/>
      </w:pBdr>
      <w:kinsoku/>
      <w:wordWrap/>
      <w:overflowPunct/>
      <w:topLinePunct w:val="0"/>
      <w:autoSpaceDE/>
      <w:autoSpaceDN/>
      <w:bidi w:val="0"/>
      <w:adjustRightInd/>
      <w:snapToGrid w:val="0"/>
      <w:ind w:firstLine="0" w:firstLineChars="0"/>
      <w:jc w:val="center"/>
      <w:textAlignment w:val="auto"/>
      <w:rPr>
        <w:rFonts w:hint="eastAsia"/>
        <w:lang w:val="en-US" w:eastAsia="zh-CN"/>
      </w:rPr>
    </w:pPr>
  </w:p>
  <w:p>
    <w:pPr>
      <w:pStyle w:val="9"/>
      <w:keepNext w:val="0"/>
      <w:keepLines w:val="0"/>
      <w:pageBreakBefore w:val="0"/>
      <w:widowControl w:val="0"/>
      <w:pBdr>
        <w:bottom w:val="none" w:color="auto" w:sz="0" w:space="1"/>
      </w:pBdr>
      <w:kinsoku/>
      <w:wordWrap/>
      <w:overflowPunct/>
      <w:topLinePunct w:val="0"/>
      <w:autoSpaceDE/>
      <w:autoSpaceDN/>
      <w:bidi w:val="0"/>
      <w:adjustRightInd/>
      <w:snapToGrid w:val="0"/>
      <w:ind w:firstLine="0" w:firstLineChars="0"/>
      <w:jc w:val="center"/>
      <w:textAlignment w:val="auto"/>
      <w:rPr>
        <w:rFonts w:hint="default" w:eastAsia="宋体"/>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pBdr>
        <w:bottom w:val="single" w:color="auto" w:sz="4" w:space="1"/>
      </w:pBdr>
      <w:kinsoku/>
      <w:wordWrap/>
      <w:overflowPunct/>
      <w:topLinePunct w:val="0"/>
      <w:autoSpaceDE/>
      <w:autoSpaceDN/>
      <w:bidi w:val="0"/>
      <w:adjustRightInd/>
      <w:snapToGrid w:val="0"/>
      <w:ind w:firstLine="0" w:firstLineChars="0"/>
      <w:jc w:val="center"/>
      <w:textAlignment w:val="auto"/>
      <w:rPr>
        <w:rFonts w:hint="eastAsia"/>
        <w:lang w:val="en-US" w:eastAsia="zh-CN"/>
      </w:rPr>
    </w:pPr>
  </w:p>
  <w:p>
    <w:pPr>
      <w:pStyle w:val="9"/>
      <w:keepNext w:val="0"/>
      <w:keepLines w:val="0"/>
      <w:pageBreakBefore w:val="0"/>
      <w:widowControl w:val="0"/>
      <w:pBdr>
        <w:bottom w:val="single" w:color="auto" w:sz="4" w:space="1"/>
      </w:pBdr>
      <w:kinsoku/>
      <w:wordWrap/>
      <w:overflowPunct/>
      <w:topLinePunct w:val="0"/>
      <w:autoSpaceDE/>
      <w:autoSpaceDN/>
      <w:bidi w:val="0"/>
      <w:adjustRightInd/>
      <w:snapToGrid w:val="0"/>
      <w:ind w:firstLine="0" w:firstLineChars="0"/>
      <w:jc w:val="center"/>
      <w:textAlignment w:val="auto"/>
      <w:rPr>
        <w:rFonts w:hint="default" w:eastAsia="宋体"/>
        <w:lang w:val="en-US" w:eastAsia="zh-CN"/>
      </w:rPr>
    </w:pPr>
    <w:r>
      <w:rPr>
        <w:rFonts w:hint="eastAsia"/>
        <w:lang w:val="en-US" w:eastAsia="zh-CN"/>
      </w:rPr>
      <w:t>南昌市东湖区妇女联合会2021年度部门整体支出绩效财政评价报告</w:t>
    </w:r>
  </w:p>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pBdr>
        <w:bottom w:val="single" w:color="auto" w:sz="4" w:space="1"/>
      </w:pBdr>
      <w:kinsoku/>
      <w:wordWrap/>
      <w:overflowPunct/>
      <w:topLinePunct w:val="0"/>
      <w:autoSpaceDE/>
      <w:autoSpaceDN/>
      <w:bidi w:val="0"/>
      <w:adjustRightInd/>
      <w:snapToGrid w:val="0"/>
      <w:ind w:firstLine="0" w:firstLineChars="0"/>
      <w:jc w:val="center"/>
      <w:textAlignment w:val="auto"/>
      <w:rPr>
        <w:rFonts w:hint="eastAsia"/>
        <w:lang w:val="en-US" w:eastAsia="zh-CN"/>
      </w:rPr>
    </w:pPr>
  </w:p>
  <w:p>
    <w:pPr>
      <w:pStyle w:val="9"/>
      <w:keepNext w:val="0"/>
      <w:keepLines w:val="0"/>
      <w:pageBreakBefore w:val="0"/>
      <w:widowControl w:val="0"/>
      <w:pBdr>
        <w:bottom w:val="single" w:color="auto" w:sz="4" w:space="1"/>
      </w:pBdr>
      <w:kinsoku/>
      <w:wordWrap/>
      <w:overflowPunct/>
      <w:topLinePunct w:val="0"/>
      <w:autoSpaceDE/>
      <w:autoSpaceDN/>
      <w:bidi w:val="0"/>
      <w:adjustRightInd/>
      <w:snapToGrid w:val="0"/>
      <w:ind w:firstLine="0" w:firstLineChars="0"/>
      <w:jc w:val="center"/>
      <w:textAlignment w:val="auto"/>
      <w:rPr>
        <w:rFonts w:hint="eastAsia"/>
        <w:lang w:val="en-US" w:eastAsia="zh-CN"/>
      </w:rPr>
    </w:pPr>
  </w:p>
  <w:p>
    <w:pPr>
      <w:pStyle w:val="9"/>
      <w:keepNext w:val="0"/>
      <w:keepLines w:val="0"/>
      <w:pageBreakBefore w:val="0"/>
      <w:widowControl w:val="0"/>
      <w:pBdr>
        <w:bottom w:val="single" w:color="auto" w:sz="4" w:space="1"/>
      </w:pBdr>
      <w:kinsoku/>
      <w:wordWrap/>
      <w:overflowPunct/>
      <w:topLinePunct w:val="0"/>
      <w:autoSpaceDE/>
      <w:autoSpaceDN/>
      <w:bidi w:val="0"/>
      <w:adjustRightInd/>
      <w:snapToGrid w:val="0"/>
      <w:ind w:firstLine="0" w:firstLineChars="0"/>
      <w:jc w:val="center"/>
      <w:textAlignment w:val="auto"/>
      <w:rPr>
        <w:rFonts w:hint="eastAsia"/>
        <w:lang w:val="en-US" w:eastAsia="zh-CN"/>
      </w:rPr>
    </w:pPr>
  </w:p>
  <w:p>
    <w:pPr>
      <w:pStyle w:val="9"/>
      <w:keepNext w:val="0"/>
      <w:keepLines w:val="0"/>
      <w:pageBreakBefore w:val="0"/>
      <w:widowControl w:val="0"/>
      <w:pBdr>
        <w:bottom w:val="single" w:color="auto" w:sz="4" w:space="1"/>
      </w:pBdr>
      <w:kinsoku/>
      <w:wordWrap/>
      <w:overflowPunct/>
      <w:topLinePunct w:val="0"/>
      <w:autoSpaceDE/>
      <w:autoSpaceDN/>
      <w:bidi w:val="0"/>
      <w:adjustRightInd/>
      <w:snapToGrid w:val="0"/>
      <w:ind w:firstLine="0" w:firstLineChars="0"/>
      <w:jc w:val="center"/>
      <w:textAlignment w:val="auto"/>
      <w:rPr>
        <w:rFonts w:hint="eastAsia"/>
        <w:lang w:val="en-US" w:eastAsia="zh-CN"/>
      </w:rPr>
    </w:pPr>
  </w:p>
  <w:p>
    <w:pPr>
      <w:pStyle w:val="9"/>
      <w:keepNext w:val="0"/>
      <w:keepLines w:val="0"/>
      <w:pageBreakBefore w:val="0"/>
      <w:widowControl w:val="0"/>
      <w:pBdr>
        <w:bottom w:val="single" w:color="auto" w:sz="4" w:space="1"/>
      </w:pBdr>
      <w:kinsoku/>
      <w:wordWrap/>
      <w:overflowPunct/>
      <w:topLinePunct w:val="0"/>
      <w:autoSpaceDE/>
      <w:autoSpaceDN/>
      <w:bidi w:val="0"/>
      <w:adjustRightInd/>
      <w:snapToGrid w:val="0"/>
      <w:ind w:firstLine="0" w:firstLineChars="0"/>
      <w:jc w:val="center"/>
      <w:textAlignment w:val="auto"/>
      <w:rPr>
        <w:rFonts w:hint="default" w:eastAsia="宋体"/>
        <w:lang w:val="en-US" w:eastAsia="zh-CN"/>
      </w:rPr>
    </w:pPr>
    <w:r>
      <w:rPr>
        <w:rFonts w:hint="eastAsia"/>
        <w:lang w:val="en-US" w:eastAsia="zh-CN"/>
      </w:rPr>
      <w:t>南昌市东湖区妇女联合会2021年度部门整体支出绩效财政评价报告</w:t>
    </w:r>
  </w:p>
  <w:p>
    <w:pPr>
      <w:pStyle w:val="9"/>
      <w:keepNext w:val="0"/>
      <w:keepLines w:val="0"/>
      <w:pageBreakBefore w:val="0"/>
      <w:widowControl w:val="0"/>
      <w:pBdr>
        <w:bottom w:val="none" w:color="auto" w:sz="0" w:space="1"/>
      </w:pBdr>
      <w:kinsoku/>
      <w:wordWrap/>
      <w:overflowPunct/>
      <w:topLinePunct w:val="0"/>
      <w:autoSpaceDE/>
      <w:autoSpaceDN/>
      <w:bidi w:val="0"/>
      <w:adjustRightInd/>
      <w:snapToGrid w:val="0"/>
      <w:ind w:firstLine="0" w:firstLineChars="0"/>
      <w:jc w:val="both"/>
      <w:textAlignment w:val="auto"/>
      <w:rPr>
        <w:rFonts w:hint="default" w:eastAsia="宋体"/>
        <w:lang w:val="en-US"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pBdr>
        <w:bottom w:val="single" w:color="auto" w:sz="4" w:space="1"/>
      </w:pBdr>
      <w:kinsoku/>
      <w:wordWrap/>
      <w:overflowPunct/>
      <w:topLinePunct w:val="0"/>
      <w:autoSpaceDE/>
      <w:autoSpaceDN/>
      <w:bidi w:val="0"/>
      <w:adjustRightInd/>
      <w:snapToGrid w:val="0"/>
      <w:ind w:firstLine="0" w:firstLineChars="0"/>
      <w:jc w:val="center"/>
      <w:textAlignment w:val="auto"/>
      <w:rPr>
        <w:rFonts w:hint="eastAsia"/>
        <w:lang w:val="en-US" w:eastAsia="zh-CN"/>
      </w:rPr>
    </w:pPr>
  </w:p>
  <w:p>
    <w:pPr>
      <w:pStyle w:val="9"/>
      <w:keepNext w:val="0"/>
      <w:keepLines w:val="0"/>
      <w:pageBreakBefore w:val="0"/>
      <w:widowControl w:val="0"/>
      <w:pBdr>
        <w:bottom w:val="single" w:color="auto" w:sz="4" w:space="1"/>
      </w:pBdr>
      <w:kinsoku/>
      <w:wordWrap/>
      <w:overflowPunct/>
      <w:topLinePunct w:val="0"/>
      <w:autoSpaceDE/>
      <w:autoSpaceDN/>
      <w:bidi w:val="0"/>
      <w:adjustRightInd/>
      <w:snapToGrid w:val="0"/>
      <w:ind w:firstLine="0" w:firstLineChars="0"/>
      <w:jc w:val="center"/>
      <w:textAlignment w:val="auto"/>
      <w:rPr>
        <w:rFonts w:hint="default" w:eastAsia="宋体"/>
        <w:lang w:val="en-US" w:eastAsia="zh-CN"/>
      </w:rPr>
    </w:pPr>
    <w:r>
      <w:rPr>
        <w:rFonts w:hint="eastAsia"/>
        <w:lang w:val="en-US" w:eastAsia="zh-CN"/>
      </w:rPr>
      <w:t>南昌市东湖区妇女联合会2021年度部门整体支出绩效财政评价报告</w:t>
    </w:r>
  </w:p>
  <w:p>
    <w:pPr>
      <w:pStyle w:val="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pBdr>
        <w:bottom w:val="single" w:color="auto" w:sz="4" w:space="1"/>
      </w:pBdr>
      <w:kinsoku/>
      <w:wordWrap/>
      <w:overflowPunct/>
      <w:topLinePunct w:val="0"/>
      <w:autoSpaceDE/>
      <w:autoSpaceDN/>
      <w:bidi w:val="0"/>
      <w:adjustRightInd/>
      <w:snapToGrid w:val="0"/>
      <w:ind w:firstLine="0" w:firstLineChars="0"/>
      <w:jc w:val="center"/>
      <w:textAlignment w:val="auto"/>
      <w:rPr>
        <w:rFonts w:hint="eastAsia"/>
        <w:lang w:val="en-US" w:eastAsia="zh-CN"/>
      </w:rPr>
    </w:pPr>
  </w:p>
  <w:p>
    <w:pPr>
      <w:pStyle w:val="9"/>
      <w:keepNext w:val="0"/>
      <w:keepLines w:val="0"/>
      <w:pageBreakBefore w:val="0"/>
      <w:widowControl w:val="0"/>
      <w:pBdr>
        <w:bottom w:val="single" w:color="auto" w:sz="4" w:space="1"/>
      </w:pBdr>
      <w:kinsoku/>
      <w:wordWrap/>
      <w:overflowPunct/>
      <w:topLinePunct w:val="0"/>
      <w:autoSpaceDE/>
      <w:autoSpaceDN/>
      <w:bidi w:val="0"/>
      <w:adjustRightInd/>
      <w:snapToGrid w:val="0"/>
      <w:ind w:firstLine="0" w:firstLineChars="0"/>
      <w:jc w:val="center"/>
      <w:textAlignment w:val="auto"/>
      <w:rPr>
        <w:rFonts w:hint="eastAsia"/>
        <w:lang w:val="en-US" w:eastAsia="zh-CN"/>
      </w:rPr>
    </w:pPr>
  </w:p>
  <w:p>
    <w:pPr>
      <w:pStyle w:val="9"/>
      <w:keepNext w:val="0"/>
      <w:keepLines w:val="0"/>
      <w:pageBreakBefore w:val="0"/>
      <w:widowControl w:val="0"/>
      <w:pBdr>
        <w:bottom w:val="single" w:color="auto" w:sz="4" w:space="1"/>
      </w:pBdr>
      <w:kinsoku/>
      <w:wordWrap/>
      <w:overflowPunct/>
      <w:topLinePunct w:val="0"/>
      <w:autoSpaceDE/>
      <w:autoSpaceDN/>
      <w:bidi w:val="0"/>
      <w:adjustRightInd/>
      <w:snapToGrid w:val="0"/>
      <w:ind w:firstLine="0" w:firstLineChars="0"/>
      <w:jc w:val="center"/>
      <w:textAlignment w:val="auto"/>
      <w:rPr>
        <w:rFonts w:hint="eastAsia"/>
        <w:lang w:val="en-US" w:eastAsia="zh-CN"/>
      </w:rPr>
    </w:pPr>
  </w:p>
  <w:p>
    <w:pPr>
      <w:pStyle w:val="9"/>
      <w:keepNext w:val="0"/>
      <w:keepLines w:val="0"/>
      <w:pageBreakBefore w:val="0"/>
      <w:widowControl w:val="0"/>
      <w:pBdr>
        <w:bottom w:val="single" w:color="auto" w:sz="4" w:space="1"/>
      </w:pBdr>
      <w:kinsoku/>
      <w:wordWrap/>
      <w:overflowPunct/>
      <w:topLinePunct w:val="0"/>
      <w:autoSpaceDE/>
      <w:autoSpaceDN/>
      <w:bidi w:val="0"/>
      <w:adjustRightInd/>
      <w:snapToGrid w:val="0"/>
      <w:ind w:firstLine="0" w:firstLineChars="0"/>
      <w:jc w:val="center"/>
      <w:textAlignment w:val="auto"/>
      <w:rPr>
        <w:rFonts w:hint="eastAsia"/>
        <w:lang w:val="en-US" w:eastAsia="zh-CN"/>
      </w:rPr>
    </w:pPr>
  </w:p>
  <w:p>
    <w:pPr>
      <w:pStyle w:val="9"/>
      <w:keepNext w:val="0"/>
      <w:keepLines w:val="0"/>
      <w:pageBreakBefore w:val="0"/>
      <w:widowControl w:val="0"/>
      <w:pBdr>
        <w:bottom w:val="single" w:color="auto" w:sz="4" w:space="1"/>
      </w:pBdr>
      <w:kinsoku/>
      <w:wordWrap/>
      <w:overflowPunct/>
      <w:topLinePunct w:val="0"/>
      <w:autoSpaceDE/>
      <w:autoSpaceDN/>
      <w:bidi w:val="0"/>
      <w:adjustRightInd/>
      <w:snapToGrid w:val="0"/>
      <w:ind w:firstLine="0" w:firstLineChars="0"/>
      <w:jc w:val="center"/>
      <w:textAlignment w:val="auto"/>
      <w:rPr>
        <w:rFonts w:hint="default" w:eastAsia="宋体"/>
        <w:lang w:val="en-US" w:eastAsia="zh-CN"/>
      </w:rPr>
    </w:pPr>
    <w:r>
      <w:rPr>
        <w:rFonts w:hint="eastAsia"/>
        <w:lang w:val="en-US" w:eastAsia="zh-CN"/>
      </w:rPr>
      <w:t>南昌市东湖区妇女联合会2021年度部门整体支出绩效财政评价报告</w:t>
    </w:r>
  </w:p>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A342C"/>
    <w:multiLevelType w:val="singleLevel"/>
    <w:tmpl w:val="1E7A342C"/>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
  </w:docVar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99"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562" w:firstLineChars="200"/>
      <w:jc w:val="both"/>
    </w:pPr>
    <w:rPr>
      <w:rFonts w:ascii="Times New Roman" w:hAnsi="Times New Roman" w:eastAsia="仿宋_GB2312" w:cstheme="minorBidi"/>
      <w:kern w:val="2"/>
      <w:sz w:val="32"/>
      <w:szCs w:val="24"/>
      <w:lang w:val="en-US" w:eastAsia="zh-CN" w:bidi="ar-SA"/>
    </w:rPr>
  </w:style>
  <w:style w:type="paragraph" w:styleId="2">
    <w:name w:val="heading 1"/>
    <w:basedOn w:val="1"/>
    <w:next w:val="1"/>
    <w:link w:val="18"/>
    <w:qFormat/>
    <w:uiPriority w:val="0"/>
    <w:pPr>
      <w:keepNext/>
      <w:keepLines/>
      <w:spacing w:line="600" w:lineRule="exact"/>
      <w:ind w:firstLine="0" w:firstLineChars="0"/>
      <w:jc w:val="left"/>
      <w:outlineLvl w:val="0"/>
    </w:pPr>
    <w:rPr>
      <w:rFonts w:ascii="Times New Roman" w:hAnsi="Times New Roman" w:eastAsia="黑体" w:cs="Times New Roman"/>
      <w:b/>
      <w:bCs/>
      <w:kern w:val="44"/>
      <w:sz w:val="32"/>
      <w:szCs w:val="44"/>
    </w:rPr>
  </w:style>
  <w:style w:type="paragraph" w:styleId="3">
    <w:name w:val="heading 2"/>
    <w:basedOn w:val="1"/>
    <w:next w:val="1"/>
    <w:link w:val="17"/>
    <w:unhideWhenUsed/>
    <w:qFormat/>
    <w:uiPriority w:val="0"/>
    <w:pPr>
      <w:keepNext/>
      <w:keepLines/>
      <w:spacing w:line="600" w:lineRule="exact"/>
      <w:ind w:firstLine="0" w:firstLineChars="0"/>
      <w:jc w:val="left"/>
      <w:outlineLvl w:val="1"/>
    </w:pPr>
    <w:rPr>
      <w:rFonts w:ascii="仿宋" w:hAnsi="仿宋" w:eastAsia="方正楷体简体" w:cs="Times New Roman"/>
      <w:b/>
      <w:bCs/>
      <w:szCs w:val="32"/>
    </w:rPr>
  </w:style>
  <w:style w:type="paragraph" w:styleId="4">
    <w:name w:val="heading 3"/>
    <w:basedOn w:val="1"/>
    <w:next w:val="1"/>
    <w:link w:val="16"/>
    <w:unhideWhenUsed/>
    <w:qFormat/>
    <w:uiPriority w:val="0"/>
    <w:pPr>
      <w:keepNext/>
      <w:keepLines/>
      <w:spacing w:before="120" w:after="120" w:line="560" w:lineRule="exact"/>
      <w:jc w:val="left"/>
      <w:outlineLvl w:val="2"/>
    </w:pPr>
    <w:rPr>
      <w:rFonts w:ascii="Times New Roman" w:hAnsi="Times New Roman" w:eastAsia="仿宋_GB2312" w:cs="Times New Roman"/>
      <w:b/>
      <w:bCs/>
      <w:szCs w:val="32"/>
    </w:rPr>
  </w:style>
  <w:style w:type="paragraph" w:styleId="5">
    <w:name w:val="heading 4"/>
    <w:basedOn w:val="1"/>
    <w:next w:val="1"/>
    <w:unhideWhenUsed/>
    <w:qFormat/>
    <w:uiPriority w:val="0"/>
    <w:pPr>
      <w:keepNext/>
      <w:keepLines/>
      <w:spacing w:beforeLines="0" w:beforeAutospacing="0" w:afterLines="0" w:afterAutospacing="0" w:line="600" w:lineRule="exact"/>
      <w:outlineLvl w:val="3"/>
    </w:pPr>
    <w:rPr>
      <w:rFonts w:ascii="Arial" w:hAnsi="Arial" w:eastAsia="仿宋_GB2312" w:cstheme="minorBidi"/>
      <w:b/>
      <w:sz w:val="32"/>
    </w:rPr>
  </w:style>
  <w:style w:type="character" w:default="1" w:styleId="13">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6">
    <w:name w:val="Body Text"/>
    <w:basedOn w:val="1"/>
    <w:qFormat/>
    <w:uiPriority w:val="0"/>
    <w:rPr>
      <w:rFonts w:ascii="Times New Roman" w:hAnsi="Times New Roman" w:eastAsia="宋体"/>
      <w:szCs w:val="24"/>
    </w:rPr>
  </w:style>
  <w:style w:type="paragraph" w:styleId="7">
    <w:name w:val="toc 3"/>
    <w:basedOn w:val="1"/>
    <w:next w:val="1"/>
    <w:qFormat/>
    <w:uiPriority w:val="0"/>
    <w:pPr>
      <w:ind w:left="840" w:leftChars="400" w:firstLine="0" w:firstLineChars="0"/>
    </w:pPr>
    <w:rPr>
      <w:rFonts w:ascii="Times New Roman" w:hAnsi="Times New Roman" w:eastAsia="宋体"/>
      <w:szCs w:val="24"/>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0"/>
    <w:pPr>
      <w:ind w:firstLine="0" w:firstLineChars="0"/>
    </w:pPr>
    <w:rPr>
      <w:rFonts w:ascii="Times New Roman" w:hAnsi="Times New Roman" w:eastAsia="宋体"/>
      <w:sz w:val="24"/>
      <w:szCs w:val="24"/>
    </w:rPr>
  </w:style>
  <w:style w:type="paragraph" w:styleId="11">
    <w:name w:val="toc 2"/>
    <w:basedOn w:val="1"/>
    <w:next w:val="1"/>
    <w:qFormat/>
    <w:uiPriority w:val="0"/>
    <w:pPr>
      <w:ind w:left="420" w:leftChars="200" w:firstLine="0" w:firstLineChars="0"/>
    </w:pPr>
    <w:rPr>
      <w:rFonts w:ascii="Times New Roman" w:hAnsi="Times New Roman" w:eastAsia="宋体"/>
      <w:szCs w:val="24"/>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
    <w:name w:val="标题 3 Char"/>
    <w:link w:val="4"/>
    <w:qFormat/>
    <w:uiPriority w:val="0"/>
    <w:rPr>
      <w:rFonts w:ascii="Times New Roman" w:hAnsi="Times New Roman" w:eastAsia="仿宋_GB2312" w:cs="Times New Roman"/>
      <w:b/>
      <w:bCs/>
      <w:sz w:val="32"/>
      <w:szCs w:val="32"/>
    </w:rPr>
  </w:style>
  <w:style w:type="character" w:customStyle="1" w:styleId="17">
    <w:name w:val="标题 2 Char"/>
    <w:link w:val="3"/>
    <w:qFormat/>
    <w:uiPriority w:val="0"/>
    <w:rPr>
      <w:rFonts w:ascii="仿宋" w:hAnsi="仿宋" w:eastAsia="方正楷体简体" w:cs="Times New Roman"/>
      <w:b/>
      <w:bCs/>
      <w:sz w:val="32"/>
      <w:szCs w:val="32"/>
    </w:rPr>
  </w:style>
  <w:style w:type="character" w:customStyle="1" w:styleId="18">
    <w:name w:val="标题 1 Char1"/>
    <w:link w:val="2"/>
    <w:qFormat/>
    <w:uiPriority w:val="0"/>
    <w:rPr>
      <w:rFonts w:ascii="Times New Roman" w:hAnsi="Times New Roman" w:eastAsia="黑体" w:cs="Times New Roman"/>
      <w:b/>
      <w:bCs/>
      <w:kern w:val="44"/>
      <w:sz w:val="32"/>
      <w:szCs w:val="44"/>
    </w:rPr>
  </w:style>
  <w:style w:type="paragraph" w:customStyle="1" w:styleId="19">
    <w:name w:val="WPSOffice手动目录 1"/>
    <w:qFormat/>
    <w:uiPriority w:val="0"/>
    <w:pPr>
      <w:ind w:leftChars="0"/>
    </w:pPr>
    <w:rPr>
      <w:rFonts w:ascii="Calibri" w:hAnsi="Calibri" w:eastAsia="宋体" w:cs="Times New Roman"/>
      <w:sz w:val="20"/>
      <w:szCs w:val="20"/>
    </w:rPr>
  </w:style>
  <w:style w:type="paragraph" w:customStyle="1" w:styleId="20">
    <w:name w:val="WPSOffice手动目录 2"/>
    <w:qFormat/>
    <w:uiPriority w:val="0"/>
    <w:pPr>
      <w:ind w:leftChars="200"/>
    </w:pPr>
    <w:rPr>
      <w:rFonts w:ascii="Calibri" w:hAnsi="Calibri" w:eastAsia="宋体" w:cs="Times New Roman"/>
      <w:sz w:val="20"/>
      <w:szCs w:val="20"/>
    </w:rPr>
  </w:style>
  <w:style w:type="paragraph" w:customStyle="1" w:styleId="21">
    <w:name w:val="WPSOffice手动目录 3"/>
    <w:qFormat/>
    <w:uiPriority w:val="0"/>
    <w:pPr>
      <w:ind w:leftChars="400"/>
    </w:pPr>
    <w:rPr>
      <w:rFonts w:ascii="Calibri" w:hAnsi="Calibri" w:eastAsia="宋体" w:cs="Times New Roman"/>
      <w:sz w:val="20"/>
      <w:szCs w:val="20"/>
    </w:rPr>
  </w:style>
  <w:style w:type="paragraph" w:customStyle="1" w:styleId="22">
    <w:name w:val="List Paragraph"/>
    <w:basedOn w:val="1"/>
    <w:qFormat/>
    <w:uiPriority w:val="0"/>
    <w:pPr>
      <w:ind w:left="50" w:leftChars="50"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14787</Words>
  <Characters>15551</Characters>
  <Lines>0</Lines>
  <Paragraphs>0</Paragraphs>
  <ScaleCrop>false</ScaleCrop>
  <LinksUpToDate>false</LinksUpToDate>
  <CharactersWithSpaces>15614</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2019-12-28T14:42:00Z</dcterms:created>
  <dc:creator>94785</dc:creator>
  <cp:lastModifiedBy>小熊猫</cp:lastModifiedBy>
  <dcterms:modified xsi:type="dcterms:W3CDTF">2023-02-07T16:02:44Z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2052-11.33.1</vt:lpwstr>
  </property>
  <property fmtid="{D5CDD505-2E9C-101B-9397-08002B2CF9AE}" pid="3" name="ICV">
    <vt:lpwstr>1012ED8E3E4C4421B973D61A9FBABE3C</vt:lpwstr>
  </property>
</Properties>
</file>