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9"/>
        <w:ind w:left="916" w:right="0" w:firstLine="0"/>
        <w:jc w:val="left"/>
        <w:rPr>
          <w:rFonts w:hint="eastAsia" w:ascii="黑体" w:eastAsia="黑体"/>
          <w:sz w:val="21"/>
        </w:rPr>
      </w:pPr>
      <w:r>
        <w:rPr>
          <w:rFonts w:hint="eastAsia" w:ascii="黑体" w:eastAsia="黑体"/>
          <w:sz w:val="21"/>
        </w:rPr>
        <w:t>附件 9：</w:t>
      </w: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7"/>
        <w:rPr>
          <w:rFonts w:ascii="黑体"/>
          <w:sz w:val="24"/>
        </w:rPr>
      </w:pPr>
    </w:p>
    <w:p>
      <w:pPr>
        <w:pStyle w:val="5"/>
        <w:spacing w:line="634" w:lineRule="exact"/>
        <w:ind w:right="300"/>
      </w:pPr>
      <w:bookmarkStart w:id="0" w:name="项目支出部门评价报告"/>
      <w:bookmarkEnd w:id="0"/>
      <w:r>
        <w:t>项目支出部门评价报告</w:t>
      </w:r>
    </w:p>
    <w:p>
      <w:pPr>
        <w:pStyle w:val="2"/>
        <w:rPr>
          <w:rFonts w:ascii="方正小标宋简体"/>
          <w:sz w:val="42"/>
        </w:rPr>
      </w:pPr>
    </w:p>
    <w:p>
      <w:pPr>
        <w:pStyle w:val="2"/>
        <w:spacing w:before="13"/>
        <w:rPr>
          <w:rFonts w:ascii="方正小标宋简体"/>
          <w:sz w:val="39"/>
        </w:rPr>
      </w:pPr>
    </w:p>
    <w:p>
      <w:pPr>
        <w:pStyle w:val="2"/>
        <w:tabs>
          <w:tab w:val="left" w:pos="6321"/>
        </w:tabs>
        <w:ind w:left="916"/>
      </w:pPr>
      <w:r>
        <mc:AlternateContent>
          <mc:Choice Requires="wps">
            <w:drawing>
              <wp:anchor distT="0" distB="0" distL="114300" distR="114300" simplePos="0" relativeHeight="251661312" behindDoc="1" locked="0" layoutInCell="1" allowOverlap="1">
                <wp:simplePos x="0" y="0"/>
                <wp:positionH relativeFrom="page">
                  <wp:posOffset>1787525</wp:posOffset>
                </wp:positionH>
                <wp:positionV relativeFrom="paragraph">
                  <wp:posOffset>231140</wp:posOffset>
                </wp:positionV>
                <wp:extent cx="45180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451802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0.75pt;margin-top:18.2pt;height:0pt;width:355.75pt;mso-position-horizontal-relative:page;z-index:-251655168;mso-width-relative:page;mso-height-relative:page;" filled="f" stroked="t" coordsize="21600,21600" o:gfxdata="UEsDBAoAAAAAAIdO4kAAAAAAAAAAAAAAAAAEAAAAZHJzL1BLAwQUAAAACACHTuJARBCWo9cAAAAJ&#10;AQAADwAAAGRycy9kb3ducmV2LnhtbE2PTU/DMAyG70j8h8hI3FjSFaatazqhIk5woSCxo9d4baFx&#10;qib76L8niMM42n70+nnzzdn24kij7xxrSGYKBHHtTMeNho/357slCB+QDfaOScNEHjbF9VWOmXEn&#10;fqNjFRoRQ9hnqKENYcik9HVLFv3MDcTxtnejxRDHsZFmxFMMt72cK7WQFjuOH1ocqGyp/q4OVgOW&#10;0yty9fSptun+5Us2U6gfS61vbxK1BhHoHC4w/OpHdSii084d2HjRa5gvk4eIakgX9yAisFqlsdzu&#10;byGLXP5vUPwAUEsDBBQAAAAIAIdO4kD7tAAK9gEAAOQDAAAOAAAAZHJzL2Uyb0RvYy54bWytU81u&#10;EzEQviPxDpbvZDcprdpVNj00lAuCSMADTLzeXUv+k8fJJi/BCyBxgxNH7rxNy2Mw9qYplEsO7ME7&#10;9oy/me+b8fx6ZzTbyoDK2ZpPJyVn0grXKNvV/OOH2xeXnGEE24B2VtZ8L5FfL54/mw++kjPXO93I&#10;wAjEYjX4mvcx+qooUPTSAE6cl5acrQsGIm1DVzQBBkI3upiV5UUxuND44IREpNPl6OQHxHAKoGtb&#10;JeTSiY2RNo6oQWqIRAl75ZEvcrVtK0V817YoI9M1J6Yxr5SE7HVai8Ucqi6A75U4lACnlPCEkwFl&#10;KekRagkR2Caof6CMEsGha+NEOFOMRLIixGJaPtHmfQ9eZi4kNfqj6Pj/YMXb7Sow1dT8jDMLhhp+&#10;//nH3aevv35+ofX++zd2lkQaPFYUe2NX4bBDvwqJ8a4NJv2JC9tlYfdHYeUuMkGHL8+nl+XsnDPx&#10;4CseL/qA8bV0hiWj5lrZxBkq2L7BSMko9CEkHWvLhppfXZUXBAc0gC01nkzjiQTaLt9Fp1Vzq7RO&#10;NzB06xsd2BbSEOQvUSLcv8JSkiVgP8Zl1zgevYTmlW1Y3HuSx9Kr4KkEIxvOtKRHlCwChCqC0qdE&#10;UmptqYKk6qhjstau2VMzNj6oriclprnK5KHm53oPg5qm6899Rnp8n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BCWo9cAAAAJAQAADwAAAAAAAAABACAAAAAiAAAAZHJzL2Rvd25yZXYueG1sUEsB&#10;AhQAFAAAAAgAh07iQPu0AAr2AQAA5AMAAA4AAAAAAAAAAQAgAAAAJgEAAGRycy9lMm9Eb2MueG1s&#10;UEsFBgAAAAAGAAYAWQEAAI4FAAAAAA==&#10;">
                <v:fill on="f" focussize="0,0"/>
                <v:stroke weight="0.78pt" color="#000000" joinstyle="round"/>
                <v:imagedata o:title=""/>
                <o:lock v:ext="edit" aspectratio="f"/>
              </v:line>
            </w:pict>
          </mc:Fallback>
        </mc:AlternateContent>
      </w:r>
      <w:r>
        <w:t>评价类型：</w:t>
      </w:r>
      <w:r>
        <w:rPr>
          <w:rFonts w:ascii="Wingdings" w:hAnsi="Wingdings" w:eastAsia="Wingdings"/>
        </w:rPr>
        <w:t></w:t>
      </w:r>
      <w:r>
        <w:t>实施过程评价</w:t>
      </w:r>
      <w:r>
        <w:tab/>
      </w:r>
      <w:r>
        <w:rPr>
          <w:rFonts w:ascii="Wingdings" w:hAnsi="Wingdings" w:eastAsia="Wingdings"/>
        </w:rPr>
        <w:sym w:font="Wingdings" w:char="00FE"/>
      </w:r>
      <w:r>
        <w:t>完成结果评价</w:t>
      </w:r>
    </w:p>
    <w:p>
      <w:pPr>
        <w:pStyle w:val="2"/>
        <w:rPr>
          <w:sz w:val="34"/>
        </w:rPr>
      </w:pPr>
    </w:p>
    <w:p>
      <w:pPr>
        <w:pStyle w:val="2"/>
        <w:tabs>
          <w:tab w:val="left" w:pos="9261"/>
        </w:tabs>
        <w:spacing w:before="225"/>
        <w:ind w:left="916"/>
        <w:rPr>
          <w:rFonts w:hint="default" w:ascii="Times New Roman" w:eastAsia="黑体"/>
          <w:lang w:val="en-US" w:eastAsia="zh-CN"/>
        </w:rPr>
      </w:pPr>
      <w:r>
        <w:rPr>
          <w:spacing w:val="-3"/>
          <w:w w:val="95"/>
        </w:rPr>
        <w:t>项</w:t>
      </w:r>
      <w:r>
        <w:rPr>
          <w:w w:val="95"/>
        </w:rPr>
        <w:t>目</w:t>
      </w:r>
      <w:r>
        <w:rPr>
          <w:spacing w:val="-3"/>
          <w:w w:val="95"/>
        </w:rPr>
        <w:t>名</w:t>
      </w:r>
      <w:r>
        <w:rPr>
          <w:w w:val="95"/>
        </w:rPr>
        <w:t>称：</w:t>
      </w:r>
      <w:r>
        <w:rPr>
          <w:rFonts w:ascii="Times New Roman" w:eastAsia="Times New Roman"/>
          <w:w w:val="95"/>
          <w:u w:val="single"/>
        </w:rPr>
        <w:t xml:space="preserve"> </w:t>
      </w:r>
      <w:r>
        <w:rPr>
          <w:rFonts w:hint="eastAsia" w:ascii="Times New Roman" w:eastAsia="宋体"/>
          <w:w w:val="95"/>
          <w:u w:val="single"/>
          <w:lang w:val="en-US" w:eastAsia="zh-CN"/>
        </w:rPr>
        <w:t xml:space="preserve">        </w:t>
      </w:r>
      <w:r>
        <w:rPr>
          <w:rFonts w:hint="eastAsia"/>
          <w:w w:val="95"/>
          <w:u w:val="single"/>
          <w:lang w:val="en-US" w:eastAsia="zh-CN"/>
        </w:rPr>
        <w:t xml:space="preserve">团区委事务工作经费项目 </w:t>
      </w:r>
      <w:r>
        <w:rPr>
          <w:rFonts w:hint="eastAsia" w:ascii="Times New Roman" w:eastAsia="宋体"/>
          <w:w w:val="95"/>
          <w:u w:val="single"/>
          <w:lang w:val="en-US" w:eastAsia="zh-CN"/>
        </w:rPr>
        <w:t xml:space="preserve">       </w:t>
      </w:r>
      <w:r>
        <w:rPr>
          <w:rFonts w:hint="eastAsia" w:ascii="黑体" w:hAnsi="黑体" w:eastAsia="黑体" w:cs="黑体"/>
          <w:bCs/>
          <w:sz w:val="32"/>
          <w:szCs w:val="32"/>
          <w:u w:val="single"/>
          <w:lang w:val="en-US" w:eastAsia="zh-CN"/>
        </w:rPr>
        <w:t xml:space="preserve">    </w:t>
      </w:r>
    </w:p>
    <w:p>
      <w:pPr>
        <w:pStyle w:val="2"/>
        <w:rPr>
          <w:rFonts w:ascii="Times New Roman"/>
          <w:sz w:val="20"/>
        </w:rPr>
      </w:pPr>
    </w:p>
    <w:p>
      <w:pPr>
        <w:pStyle w:val="2"/>
        <w:rPr>
          <w:rFonts w:ascii="Times New Roman"/>
          <w:sz w:val="20"/>
        </w:rPr>
      </w:pPr>
    </w:p>
    <w:p>
      <w:pPr>
        <w:pStyle w:val="2"/>
        <w:tabs>
          <w:tab w:val="left" w:pos="9261"/>
        </w:tabs>
        <w:spacing w:before="201"/>
        <w:ind w:left="916"/>
        <w:rPr>
          <w:rFonts w:hint="eastAsia" w:ascii="Times New Roman" w:eastAsia="Times New Roman"/>
          <w:w w:val="95"/>
          <w:u w:val="single"/>
        </w:rPr>
      </w:pPr>
      <w:r>
        <w:rPr>
          <w:spacing w:val="-3"/>
          <w:w w:val="95"/>
        </w:rPr>
        <w:t>项</w:t>
      </w:r>
      <w:r>
        <w:rPr>
          <w:w w:val="95"/>
        </w:rPr>
        <w:t>目</w:t>
      </w:r>
      <w:r>
        <w:rPr>
          <w:spacing w:val="-3"/>
          <w:w w:val="95"/>
        </w:rPr>
        <w:t>单</w:t>
      </w:r>
      <w:r>
        <w:rPr>
          <w:w w:val="95"/>
        </w:rPr>
        <w:t>位：</w:t>
      </w:r>
      <w:r>
        <w:rPr>
          <w:rFonts w:hint="eastAsia"/>
          <w:w w:val="95"/>
          <w:u w:val="single"/>
          <w:lang w:val="en-US" w:eastAsia="zh-CN"/>
        </w:rPr>
        <w:t xml:space="preserve">             </w:t>
      </w:r>
      <w:r>
        <w:rPr>
          <w:rFonts w:ascii="Times New Roman" w:eastAsia="Times New Roman"/>
          <w:w w:val="95"/>
          <w:u w:val="single"/>
        </w:rPr>
        <w:t xml:space="preserve"> </w:t>
      </w:r>
      <w:r>
        <w:rPr>
          <w:rFonts w:hint="eastAsia"/>
          <w:w w:val="95"/>
          <w:u w:val="single"/>
        </w:rPr>
        <w:t xml:space="preserve">共青团东湖区委 </w:t>
      </w:r>
      <w:r>
        <w:rPr>
          <w:rFonts w:hint="eastAsia" w:ascii="Times New Roman" w:eastAsia="Times New Roman"/>
          <w:w w:val="95"/>
          <w:u w:val="single"/>
        </w:rPr>
        <w:t xml:space="preserve">  </w:t>
      </w:r>
      <w:r>
        <w:rPr>
          <w:rFonts w:hint="eastAsia" w:ascii="Times New Roman" w:eastAsia="宋体"/>
          <w:w w:val="95"/>
          <w:u w:val="single"/>
          <w:lang w:val="en-US" w:eastAsia="zh-CN"/>
        </w:rPr>
        <w:t xml:space="preserve"> </w:t>
      </w:r>
      <w:r>
        <w:rPr>
          <w:rFonts w:hint="eastAsia" w:ascii="Times New Roman" w:eastAsia="Times New Roman"/>
          <w:w w:val="95"/>
          <w:u w:val="single"/>
        </w:rPr>
        <w:t xml:space="preserve">        </w:t>
      </w:r>
      <w:r>
        <w:rPr>
          <w:rFonts w:hint="eastAsia" w:ascii="Times New Roman" w:eastAsia="宋体"/>
          <w:w w:val="95"/>
          <w:u w:val="single"/>
          <w:lang w:val="en-US" w:eastAsia="zh-CN"/>
        </w:rPr>
        <w:t xml:space="preserve">   </w:t>
      </w:r>
    </w:p>
    <w:p>
      <w:pPr>
        <w:pStyle w:val="2"/>
        <w:rPr>
          <w:rFonts w:ascii="Times New Roman"/>
          <w:sz w:val="20"/>
        </w:rPr>
      </w:pPr>
    </w:p>
    <w:p>
      <w:pPr>
        <w:pStyle w:val="2"/>
        <w:rPr>
          <w:rFonts w:ascii="Times New Roman"/>
          <w:sz w:val="20"/>
        </w:rPr>
      </w:pPr>
    </w:p>
    <w:p>
      <w:pPr>
        <w:pStyle w:val="2"/>
        <w:tabs>
          <w:tab w:val="left" w:pos="7792"/>
        </w:tabs>
        <w:spacing w:before="198"/>
        <w:ind w:left="916"/>
        <w:rPr>
          <w:rFonts w:hint="default" w:eastAsia="仿宋_GB2312"/>
          <w:lang w:val="en-US" w:eastAsia="zh-CN"/>
        </w:rPr>
      </w:pPr>
      <w:r>
        <w:t>主管部门：</w:t>
      </w:r>
      <w:r>
        <w:rPr>
          <w:u w:val="single"/>
        </w:rPr>
        <w:t xml:space="preserve"> </w:t>
      </w:r>
      <w:r>
        <w:rPr>
          <w:rFonts w:hint="eastAsia"/>
          <w:u w:val="single"/>
          <w:lang w:val="en-US" w:eastAsia="zh-CN"/>
        </w:rPr>
        <w:t xml:space="preserve">             </w:t>
      </w:r>
      <w:r>
        <w:rPr>
          <w:u w:val="single"/>
        </w:rPr>
        <w:t>（盖章）</w:t>
      </w:r>
      <w:r>
        <w:rPr>
          <w:rFonts w:hint="eastAsia"/>
          <w:u w:val="single"/>
          <w:lang w:val="en-US" w:eastAsia="zh-CN"/>
        </w:rPr>
        <w:t xml:space="preserve">                   </w:t>
      </w:r>
    </w:p>
    <w:p>
      <w:pPr>
        <w:pStyle w:val="2"/>
        <w:rPr>
          <w:sz w:val="20"/>
        </w:rPr>
      </w:pPr>
    </w:p>
    <w:p>
      <w:pPr>
        <w:pStyle w:val="2"/>
        <w:spacing w:before="4"/>
        <w:rPr>
          <w:sz w:val="27"/>
        </w:rPr>
      </w:pPr>
    </w:p>
    <w:p>
      <w:pPr>
        <w:pStyle w:val="2"/>
        <w:tabs>
          <w:tab w:val="left" w:pos="3638"/>
          <w:tab w:val="left" w:pos="4437"/>
          <w:tab w:val="left" w:pos="5236"/>
          <w:tab w:val="left" w:pos="6431"/>
          <w:tab w:val="left" w:pos="7391"/>
          <w:tab w:val="left" w:pos="8351"/>
        </w:tabs>
        <w:spacing w:before="54"/>
        <w:ind w:left="916"/>
        <w:jc w:val="both"/>
      </w:pPr>
      <w:r>
        <w:t>评价时</w:t>
      </w:r>
      <w:r>
        <w:rPr>
          <w:u w:val="none"/>
        </w:rPr>
        <w:t>间</w:t>
      </w:r>
      <w:r>
        <w:t>：</w:t>
      </w:r>
      <w:r>
        <w:rPr>
          <w:rFonts w:hint="eastAsia"/>
          <w:lang w:val="en-US" w:eastAsia="zh-CN"/>
        </w:rPr>
        <w:t xml:space="preserve">       2021</w:t>
      </w:r>
      <w:r>
        <w:t>年</w:t>
      </w:r>
      <w:r>
        <w:rPr>
          <w:rFonts w:hint="eastAsia"/>
          <w:lang w:val="en-US" w:eastAsia="zh-CN"/>
        </w:rPr>
        <w:t>1</w:t>
      </w:r>
      <w:r>
        <w:t>月</w:t>
      </w:r>
      <w:r>
        <w:rPr>
          <w:rFonts w:hint="eastAsia"/>
          <w:lang w:val="en-US" w:eastAsia="zh-CN"/>
        </w:rPr>
        <w:t>1</w:t>
      </w:r>
      <w:r>
        <w:t>日至</w:t>
      </w:r>
      <w:r>
        <w:rPr>
          <w:rFonts w:hint="eastAsia"/>
          <w:lang w:val="en-US" w:eastAsia="zh-CN"/>
        </w:rPr>
        <w:t>2021</w:t>
      </w:r>
      <w:r>
        <w:t>年</w:t>
      </w:r>
      <w:r>
        <w:rPr>
          <w:rFonts w:hint="eastAsia"/>
          <w:lang w:val="en-US" w:eastAsia="zh-CN"/>
        </w:rPr>
        <w:t>12</w:t>
      </w:r>
      <w:r>
        <w:t>月</w:t>
      </w:r>
      <w:r>
        <w:rPr>
          <w:rFonts w:hint="eastAsia"/>
          <w:lang w:val="en-US" w:eastAsia="zh-CN"/>
        </w:rPr>
        <w:t>31</w:t>
      </w:r>
      <w:r>
        <w:t>日</w:t>
      </w:r>
    </w:p>
    <w:p>
      <w:pPr>
        <w:pStyle w:val="2"/>
        <w:spacing w:before="6"/>
        <w:rPr>
          <w:sz w:val="8"/>
        </w:rPr>
      </w:pPr>
      <w:r>
        <mc:AlternateContent>
          <mc:Choice Requires="wps">
            <w:drawing>
              <wp:anchor distT="0" distB="0" distL="114300" distR="114300" simplePos="0" relativeHeight="251662336" behindDoc="1" locked="0" layoutInCell="1" allowOverlap="1">
                <wp:simplePos x="0" y="0"/>
                <wp:positionH relativeFrom="page">
                  <wp:posOffset>2049145</wp:posOffset>
                </wp:positionH>
                <wp:positionV relativeFrom="paragraph">
                  <wp:posOffset>14605</wp:posOffset>
                </wp:positionV>
                <wp:extent cx="4234180" cy="76200"/>
                <wp:effectExtent l="0" t="0" r="0" b="0"/>
                <wp:wrapTopAndBottom/>
                <wp:docPr id="4" name="任意多边形 4"/>
                <wp:cNvGraphicFramePr/>
                <a:graphic xmlns:a="http://schemas.openxmlformats.org/drawingml/2006/main">
                  <a:graphicData uri="http://schemas.microsoft.com/office/word/2010/wordprocessingShape">
                    <wps:wsp>
                      <wps:cNvSpPr/>
                      <wps:spPr>
                        <a:xfrm>
                          <a:off x="0" y="0"/>
                          <a:ext cx="4234180" cy="76200"/>
                        </a:xfrm>
                        <a:custGeom>
                          <a:avLst/>
                          <a:gdLst/>
                          <a:ahLst/>
                          <a:cxnLst/>
                          <a:pathLst>
                            <a:path w="7159">
                              <a:moveTo>
                                <a:pt x="0" y="0"/>
                              </a:moveTo>
                              <a:lnTo>
                                <a:pt x="7159" y="0"/>
                              </a:lnTo>
                            </a:path>
                          </a:pathLst>
                        </a:custGeom>
                        <a:noFill/>
                        <a:ln w="9906"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161.35pt;margin-top:1.15pt;height:6pt;width:333.4pt;mso-position-horizontal-relative:page;mso-wrap-distance-bottom:0pt;mso-wrap-distance-top:0pt;z-index:-251654144;mso-width-relative:page;mso-height-relative:page;" filled="f" stroked="t" coordsize="7159,1" o:gfxdata="UEsDBAoAAAAAAIdO4kAAAAAAAAAAAAAAAAAEAAAAZHJzL1BLAwQUAAAACACHTuJAhP4bsNcAAAAI&#10;AQAADwAAAGRycy9kb3ducmV2LnhtbE2PXUvEMBBF3wX/QxjBNzdp60e3Nl1kYRFEEFfZ52wz2xab&#10;SWnSbv33jk/6ONzDvWfKzeJ6MeMYOk8akpUCgVR721Gj4fNjd5ODCNGQNb0n1PCNATbV5UVpCuvP&#10;9I7zPjaCSygURkMb41BIGeoWnQkrPyBxdvKjM5HPsZF2NGcud71MlbqXznTEC60ZcNti/bWfnIbX&#10;ZDe9bZeX54NUpo/5PD35DLW+vkrUI4iIS/yD4Vef1aFip6OfyAbRa8jS9IFRDWkGgvN1vr4DcWTw&#10;NgNZlfL/A9UPUEsDBBQAAAAIAIdO4kAZVTReLgIAAIYEAAAOAAAAZHJzL2Uyb0RvYy54bWytVM2O&#10;0zAQviPxDpbvNG0pZRu13QNluSBYaZcHcG0nseQ/edymvXPnzhHxEmgFT8MiHoOx0z/KpQdySMae&#10;8TfffDPO9HpjNFnLAMrZGR30+pRIy51Qtp7RD/c3z64ogcisYNpZOaNbCfR6/vTJtPWlHLrGaSED&#10;QRALZetntInRl0UBvJGGQc95adFZuWBYxGWoCxFYi+hGF8N+f1y0LggfHJcAuLvonHSHGC4BdFWl&#10;uFw4vjLSxg41SM0ilgSN8kDnmW1VSR7fVxXISPSMYqUxvzEJ2sv0LuZTVtaB+UbxHQV2CYWzmgxT&#10;FpMeoBYsMrIK6h8oo3hw4KrY484UXSFZEaxi0D/T5q5hXuZaUGrwB9Hh/8Hyd+vbQJSY0REllhls&#10;+M+Hh18fPz1+/fz7x7fH71/IKInUeigx9s7fht0K0EwVb6pg0hdrIZss7PYgrNxEwnFzNHw+Glyh&#10;5hx9L8c4BgmzOB7mK4hvpMtAbP0WYtcXsbdYs7f4xu5Nz2LaTsmTSVrEHryY5D4Yt5b3LrviGS1M&#10;e/RqexqVj5M9fwzs3GikBJnxISlunrK27kZpnWlrm6hMJv0xFszwilQ4mmgajzKDrTNBcFqJdCRx&#10;hFAvX+lA1iyNaX52Av0V5gPEBYOmi8uuFMbKRjLx2goStx4baPHe0kTBSEGJlnjNk5UjI1P6kshc&#10;Oxac+t51OllLJ7Y4LisfVN3gXRpklsmD45nl2V2lNP+n64x0/H3M/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E/huw1wAAAAgBAAAPAAAAAAAAAAEAIAAAACIAAABkcnMvZG93bnJldi54bWxQSwEC&#10;FAAUAAAACACHTuJAGVU0Xi4CAACGBAAADgAAAAAAAAABACAAAAAmAQAAZHJzL2Uyb0RvYy54bWxQ&#10;SwUGAAAAAAYABgBZAQAAxgUAAAAA&#10;" path="m0,0l7159,0e">
                <v:fill on="f" focussize="0,0"/>
                <v:stroke weight="0.78pt" color="#000000" joinstyle="round"/>
                <v:imagedata o:title=""/>
                <o:lock v:ext="edit" aspectratio="f"/>
                <w10:wrap type="topAndBottom"/>
              </v:shape>
            </w:pict>
          </mc:Fallback>
        </mc:AlternateContent>
      </w:r>
    </w:p>
    <w:p>
      <w:pPr>
        <w:pStyle w:val="2"/>
        <w:spacing w:before="3"/>
        <w:rPr>
          <w:sz w:val="46"/>
        </w:rPr>
      </w:pPr>
    </w:p>
    <w:p>
      <w:pPr>
        <w:pStyle w:val="2"/>
        <w:tabs>
          <w:tab w:val="left" w:pos="5147"/>
          <w:tab w:val="left" w:pos="6873"/>
        </w:tabs>
        <w:ind w:left="916"/>
      </w:pPr>
      <w:r>
        <w:t>评价机构：</w:t>
      </w:r>
      <w:r>
        <w:rPr>
          <w:rFonts w:ascii="Wingdings" w:hAnsi="Wingdings" w:eastAsia="Wingdings"/>
        </w:rPr>
        <w:t></w:t>
      </w:r>
      <w:r>
        <w:t>第三方机构</w:t>
      </w:r>
      <w:r>
        <w:tab/>
      </w:r>
      <w:r>
        <w:rPr>
          <w:rFonts w:ascii="Wingdings" w:hAnsi="Wingdings" w:eastAsia="Wingdings"/>
        </w:rPr>
        <w:t></w:t>
      </w:r>
      <w:r>
        <w:t>专家组</w:t>
      </w:r>
      <w:r>
        <w:tab/>
      </w:r>
      <w:r>
        <w:rPr>
          <w:rFonts w:ascii="Wingdings" w:hAnsi="Wingdings" w:eastAsia="Wingdings"/>
        </w:rPr>
        <w:sym w:font="Wingdings" w:char="00FE"/>
      </w:r>
      <w:r>
        <w:t>部门评价组</w:t>
      </w:r>
    </w:p>
    <w:p>
      <w:pPr>
        <w:pStyle w:val="2"/>
        <w:spacing w:before="3"/>
        <w:rPr>
          <w:sz w:val="8"/>
        </w:rPr>
      </w:pPr>
      <w:r>
        <mc:AlternateContent>
          <mc:Choice Requires="wps">
            <w:drawing>
              <wp:anchor distT="0" distB="0" distL="114300" distR="114300" simplePos="0" relativeHeight="251663360" behindDoc="1" locked="0" layoutInCell="1" allowOverlap="1">
                <wp:simplePos x="0" y="0"/>
                <wp:positionH relativeFrom="page">
                  <wp:posOffset>1783080</wp:posOffset>
                </wp:positionH>
                <wp:positionV relativeFrom="paragraph">
                  <wp:posOffset>96520</wp:posOffset>
                </wp:positionV>
                <wp:extent cx="4580890" cy="1270"/>
                <wp:effectExtent l="0" t="0" r="0" b="0"/>
                <wp:wrapTopAndBottom/>
                <wp:docPr id="5" name="任意多边形 5"/>
                <wp:cNvGraphicFramePr/>
                <a:graphic xmlns:a="http://schemas.openxmlformats.org/drawingml/2006/main">
                  <a:graphicData uri="http://schemas.microsoft.com/office/word/2010/wordprocessingShape">
                    <wps:wsp>
                      <wps:cNvSpPr/>
                      <wps:spPr>
                        <a:xfrm>
                          <a:off x="0" y="0"/>
                          <a:ext cx="4580890" cy="1270"/>
                        </a:xfrm>
                        <a:custGeom>
                          <a:avLst/>
                          <a:gdLst/>
                          <a:ahLst/>
                          <a:cxnLst/>
                          <a:pathLst>
                            <a:path w="7214">
                              <a:moveTo>
                                <a:pt x="0" y="0"/>
                              </a:moveTo>
                              <a:lnTo>
                                <a:pt x="7214" y="0"/>
                              </a:lnTo>
                            </a:path>
                          </a:pathLst>
                        </a:custGeom>
                        <a:noFill/>
                        <a:ln w="9906"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140.4pt;margin-top:7.6pt;height:0.1pt;width:360.7pt;mso-position-horizontal-relative:page;mso-wrap-distance-bottom:0pt;mso-wrap-distance-top:0pt;z-index:-251653120;mso-width-relative:page;mso-height-relative:page;" filled="f" stroked="t" coordsize="7214,1" o:gfxdata="UEsDBAoAAAAAAIdO4kAAAAAAAAAAAAAAAAAEAAAAZHJzL1BLAwQUAAAACACHTuJAVzMXK9UAAAAK&#10;AQAADwAAAGRycy9kb3ducmV2LnhtbE2PT0vDQBDF74LfYRnBm91N0FJiNqUoXiwUTOt9koxJaHY2&#10;ZLd//PZOTvY2M+/x5vfy9dUN6kxT6D1bSBYGFHHtm55bC4f9x9MKVIjIDQ6eycIvBVgX93c5Zo2/&#10;8Bedy9gqCeGQoYUuxjHTOtQdOQwLPxKL9uMnh1HWqdXNhBcJd4NOjVlqhz3Lhw5HeuuoPpYnZ+Gd&#10;2lB9bz7Hndkm5Wbrd8c9krWPD4l5BRXpGv/NMOMLOhTCVPkTN0ENFtKVEfQowksKajYYk8pUzZdn&#10;0EWubysUf1BLAwQUAAAACACHTuJAsK6W8TECAACFBAAADgAAAGRycy9lMm9Eb2MueG1srVTNbhMx&#10;EL4j8Q6W72STqGmbKJseCOWCoFLLAzi2d9eS/+RxssmdO3eOiJdAFX0aingMxt78ES45sIfdz57x&#10;zDffjHd6szaarGQA5WxJB70+JdJyJ5StS/rx4fbVNSUQmRVMOytLupFAb2YvX0xbP5FD1zgtZCAY&#10;xMKk9SVtYvSTogDeSMOg57y0aKxcMCziMtSFCKzF6EYXw37/smhdED44LgFwd94Z6TZiOCegqyrF&#10;5dzxpZE2dlGD1CxiSdAoD3SW2VaV5PFDVYGMRJcUK435jUkQL9K7mE3ZpA7MN4pvKbBzKJzUZJiy&#10;mHQfas4iI8ug/gllFA8OXBV73JmiKyQrglUM+ifa3DfMy1wLSg1+Lzr8v7D8/eouECVKOqLEMoMN&#10;//n4+OvT5+dvX34/fX/+8ZWMkkithwn63vu7sF0BwlTxugomfbEWss7CbvbCynUkHDcvRtf96zFq&#10;ztE2GF5l3YvDWb6E+Fa6HIet3kHs2iJ2iDU7xNd2Bz2LaTvlTpC0Jb0aDi5yG4xbyQeXTfGEFaY9&#10;WLU99srHyY4+OnZmBCnBbLoFOSniY9bW3SqtM21tE5XxuH+J9TK8IRVOJkLjUWWwdSYITiuRjiSO&#10;EOrFax3IiqUpzU/SHFP85eYDxDmDpvPLpm5+G8nEGytI3Hjsn8VrSxMFIwUlWuItTyhzi0zpczwx&#10;tbbIILW9a3RCCyc2OC1LH1Td4FUaZJbJgtOZ+W5vUhr/43WOdPh7zP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zMXK9UAAAAKAQAADwAAAAAAAAABACAAAAAiAAAAZHJzL2Rvd25yZXYueG1sUEsB&#10;AhQAFAAAAAgAh07iQLCulvExAgAAhQQAAA4AAAAAAAAAAQAgAAAAJAEAAGRycy9lMm9Eb2MueG1s&#10;UEsFBgAAAAAGAAYAWQEAAMcFAAAAAA==&#10;" path="m0,0l7214,0e">
                <v:fill on="f" focussize="0,0"/>
                <v:stroke weight="0.78pt" color="#000000" joinstyle="round"/>
                <v:imagedata o:title=""/>
                <o:lock v:ext="edit" aspectratio="f"/>
                <w10:wrap type="topAndBottom"/>
              </v:shape>
            </w:pict>
          </mc:Fallback>
        </mc:AlternateContent>
      </w:r>
    </w:p>
    <w:p>
      <w:pPr>
        <w:pStyle w:val="2"/>
        <w:rPr>
          <w:sz w:val="34"/>
        </w:rPr>
      </w:pPr>
    </w:p>
    <w:p>
      <w:pPr>
        <w:pStyle w:val="2"/>
        <w:rPr>
          <w:sz w:val="34"/>
        </w:rPr>
      </w:pPr>
    </w:p>
    <w:p>
      <w:pPr>
        <w:pStyle w:val="2"/>
        <w:rPr>
          <w:sz w:val="34"/>
        </w:rPr>
      </w:pPr>
    </w:p>
    <w:p>
      <w:pPr>
        <w:pStyle w:val="2"/>
        <w:rPr>
          <w:sz w:val="34"/>
        </w:rPr>
      </w:pPr>
    </w:p>
    <w:p>
      <w:pPr>
        <w:pStyle w:val="2"/>
        <w:spacing w:before="1"/>
        <w:rPr>
          <w:sz w:val="26"/>
        </w:rPr>
      </w:pPr>
    </w:p>
    <w:p>
      <w:pPr>
        <w:pStyle w:val="2"/>
        <w:tabs>
          <w:tab w:val="left" w:pos="959"/>
          <w:tab w:val="left" w:pos="1919"/>
        </w:tabs>
        <w:ind w:right="238"/>
        <w:jc w:val="center"/>
        <w:sectPr>
          <w:footerReference r:id="rId5" w:type="default"/>
          <w:footerReference r:id="rId6" w:type="even"/>
          <w:pgSz w:w="11910" w:h="16840"/>
          <w:pgMar w:top="1400" w:right="840" w:bottom="1440" w:left="840" w:header="0" w:footer="1256" w:gutter="0"/>
          <w:pgBorders>
            <w:top w:val="none" w:sz="0" w:space="0"/>
            <w:left w:val="none" w:sz="0" w:space="0"/>
            <w:bottom w:val="none" w:sz="0" w:space="0"/>
            <w:right w:val="none" w:sz="0" w:space="0"/>
          </w:pgBorders>
          <w:pgNumType w:fmt="decimal" w:start="1"/>
          <w:cols w:space="720" w:num="1"/>
        </w:sectPr>
      </w:pPr>
      <w:r>
        <w:rPr>
          <w:rFonts w:hint="eastAsia"/>
          <w:lang w:val="en-US" w:eastAsia="zh-CN"/>
        </w:rPr>
        <w:t>2022</w:t>
      </w:r>
      <w:r>
        <w:t>年</w:t>
      </w:r>
      <w:r>
        <w:rPr>
          <w:rFonts w:hint="eastAsia"/>
          <w:lang w:val="en-US" w:eastAsia="zh-CN"/>
        </w:rPr>
        <w:t>6</w:t>
      </w:r>
      <w:r>
        <w:t>月</w:t>
      </w:r>
      <w:r>
        <w:rPr>
          <w:rFonts w:hint="eastAsia"/>
          <w:lang w:val="en-US" w:eastAsia="zh-CN"/>
        </w:rPr>
        <w:t>24</w:t>
      </w:r>
      <w:r>
        <w:t>日</w:t>
      </w:r>
    </w:p>
    <w:p>
      <w:pPr>
        <w:pStyle w:val="2"/>
        <w:spacing w:before="1"/>
        <w:ind w:firstLine="640" w:firstLineChars="200"/>
        <w:rPr>
          <w:rFonts w:hint="eastAsia" w:ascii="黑体" w:eastAsia="黑体"/>
        </w:rPr>
      </w:pPr>
      <w:r>
        <w:rPr>
          <w:rFonts w:hint="eastAsia" w:ascii="黑体" w:eastAsia="黑体"/>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kern w:val="2"/>
          <w:sz w:val="32"/>
          <w:szCs w:val="32"/>
          <w:lang w:val="en-US" w:eastAsia="zh-CN"/>
        </w:rPr>
      </w:pPr>
      <w:bookmarkStart w:id="1" w:name="（一）项目概况。包括项目背景、主要内容及实施情况、资金投入和使用情况等。"/>
      <w:bookmarkEnd w:id="1"/>
      <w:r>
        <w:rPr>
          <w:rFonts w:hint="eastAsia" w:ascii="楷体" w:hAnsi="楷体" w:eastAsia="楷体" w:cs="楷体"/>
          <w:b/>
          <w:bCs/>
          <w:kern w:val="2"/>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楷体" w:hAnsi="楷体" w:eastAsia="楷体" w:cs="楷体"/>
          <w:b/>
          <w:bCs/>
          <w:kern w:val="2"/>
          <w:sz w:val="32"/>
          <w:szCs w:val="32"/>
          <w:lang w:val="en-US" w:eastAsia="zh-CN"/>
        </w:rPr>
      </w:pPr>
      <w:r>
        <w:rPr>
          <w:rFonts w:hint="eastAsia" w:ascii="楷体" w:hAnsi="楷体" w:eastAsia="楷体" w:cs="楷体"/>
          <w:b/>
          <w:bCs/>
          <w:kern w:val="2"/>
          <w:sz w:val="32"/>
          <w:szCs w:val="32"/>
          <w:lang w:val="en-US" w:eastAsia="zh-CN"/>
        </w:rPr>
        <w:t>1.立项背景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bookmarkStart w:id="2" w:name="_Toc26037"/>
      <w:r>
        <w:rPr>
          <w:rFonts w:hint="eastAsia" w:ascii="仿宋" w:hAnsi="仿宋" w:eastAsia="仿宋" w:cs="仿宋"/>
          <w:sz w:val="32"/>
          <w:szCs w:val="32"/>
        </w:rPr>
        <w:t>为深入贯彻落实《中共东湖区委办公室关于印发&lt;东湖区共青团改革方案&gt;的通知》(东办发[2017]46号)文件精神，保持和增强共青团组织的“政治性、先进性、群众性”，全面推动东湖区共青团工作稳步开展，</w:t>
      </w:r>
      <w:r>
        <w:rPr>
          <w:rFonts w:hint="eastAsia" w:ascii="仿宋" w:hAnsi="仿宋" w:eastAsia="仿宋" w:cs="仿宋"/>
          <w:sz w:val="32"/>
          <w:szCs w:val="32"/>
          <w:lang w:eastAsia="zh-CN"/>
        </w:rPr>
        <w:t>结合</w:t>
      </w:r>
      <w:r>
        <w:rPr>
          <w:rFonts w:hint="eastAsia" w:ascii="仿宋" w:hAnsi="仿宋" w:eastAsia="仿宋" w:cs="仿宋"/>
          <w:sz w:val="32"/>
          <w:szCs w:val="32"/>
        </w:rPr>
        <w:t>《关于印发&lt;共青团东湖区委202</w:t>
      </w:r>
      <w:r>
        <w:rPr>
          <w:rFonts w:hint="eastAsia" w:ascii="仿宋" w:hAnsi="仿宋" w:eastAsia="仿宋" w:cs="仿宋"/>
          <w:sz w:val="32"/>
          <w:szCs w:val="32"/>
          <w:lang w:val="en-US" w:eastAsia="zh-CN"/>
        </w:rPr>
        <w:t>1</w:t>
      </w:r>
      <w:r>
        <w:rPr>
          <w:rFonts w:hint="eastAsia" w:ascii="仿宋" w:hAnsi="仿宋" w:eastAsia="仿宋" w:cs="仿宋"/>
          <w:sz w:val="32"/>
          <w:szCs w:val="32"/>
        </w:rPr>
        <w:t>年工作要点&gt;的通知》（东青发〔202</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号）</w:t>
      </w:r>
      <w:r>
        <w:rPr>
          <w:rFonts w:hint="eastAsia" w:ascii="仿宋" w:hAnsi="仿宋" w:eastAsia="仿宋" w:cs="仿宋"/>
          <w:sz w:val="32"/>
          <w:szCs w:val="32"/>
          <w:lang w:eastAsia="zh-CN"/>
        </w:rPr>
        <w:t>文件精神，</w:t>
      </w:r>
      <w:r>
        <w:rPr>
          <w:rFonts w:hint="eastAsia" w:ascii="仿宋" w:hAnsi="仿宋" w:eastAsia="仿宋" w:cs="仿宋"/>
          <w:sz w:val="32"/>
          <w:szCs w:val="32"/>
        </w:rPr>
        <w:t>建立此项目。</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楷体" w:hAnsi="楷体" w:eastAsia="楷体" w:cs="楷体"/>
          <w:b/>
          <w:bCs/>
          <w:kern w:val="2"/>
          <w:sz w:val="32"/>
          <w:szCs w:val="32"/>
          <w:lang w:val="en-US" w:eastAsia="zh-CN"/>
        </w:rPr>
      </w:pPr>
      <w:r>
        <w:rPr>
          <w:rFonts w:hint="eastAsia" w:ascii="楷体" w:hAnsi="楷体" w:eastAsia="楷体" w:cs="楷体"/>
          <w:b/>
          <w:bCs/>
          <w:kern w:val="2"/>
          <w:sz w:val="32"/>
          <w:szCs w:val="32"/>
          <w:lang w:val="en-US" w:eastAsia="zh-CN"/>
        </w:rPr>
        <w:t>2.项目内容、执行标准和实施期限</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ascii="仿宋_GB2312" w:hAnsi="仿宋_GB2312" w:eastAsia="仿宋_GB2312" w:cs="仿宋_GB2312"/>
          <w:sz w:val="32"/>
          <w:szCs w:val="32"/>
        </w:rPr>
      </w:pPr>
      <w:r>
        <w:rPr>
          <w:rFonts w:hint="eastAsia" w:ascii="宋体" w:hAnsi="宋体" w:eastAsia="宋体"/>
          <w:b/>
          <w:bCs/>
          <w:sz w:val="30"/>
          <w:szCs w:val="30"/>
        </w:rPr>
        <w:t>项目主要内容：</w:t>
      </w:r>
      <w:r>
        <w:rPr>
          <w:rFonts w:hint="eastAsia" w:ascii="仿宋_GB2312" w:hAnsi="仿宋_GB2312" w:eastAsia="仿宋_GB2312" w:cs="仿宋_GB2312"/>
          <w:sz w:val="32"/>
          <w:szCs w:val="32"/>
        </w:rPr>
        <w:t>涵盖共青团东湖区委职责范围内的各项青少年相关工作，如“东青号”、预防青少年犯罪工作、少先队工作、基层团组织工作、兼职副书记工作经费等涉及东湖区共青团品牌工程、重大活动和上级交办的各项任务经费。共青团东湖区委本级开展的各类活动经费以及拨付街道的基层团组织工作经费、拨付学校的少先队工作经费等各项支出。</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textAlignment w:val="auto"/>
        <w:rPr>
          <w:rFonts w:hint="eastAsia" w:ascii="仿宋_GB2312" w:hAnsi="仿宋_GB2312" w:eastAsia="仿宋_GB2312" w:cs="仿宋_GB2312"/>
          <w:w w:val="95"/>
          <w:sz w:val="32"/>
          <w:szCs w:val="32"/>
          <w:lang w:val="en-US" w:eastAsia="en-US" w:bidi="ar-SA"/>
        </w:rPr>
      </w:pPr>
      <w:r>
        <w:rPr>
          <w:rFonts w:hint="eastAsia" w:ascii="宋体" w:hAnsi="宋体" w:eastAsia="宋体" w:cs="Times New Roman"/>
          <w:b/>
          <w:bCs/>
          <w:sz w:val="30"/>
          <w:szCs w:val="30"/>
        </w:rPr>
        <w:t>执行标准</w:t>
      </w:r>
      <w:r>
        <w:rPr>
          <w:rFonts w:hint="eastAsia" w:ascii="宋体" w:hAnsi="宋体" w:eastAsia="宋体" w:cs="Times New Roman"/>
          <w:b/>
          <w:bCs/>
          <w:sz w:val="30"/>
          <w:szCs w:val="30"/>
          <w:lang w:val="en-US" w:eastAsia="zh-CN"/>
        </w:rPr>
        <w:t>：</w:t>
      </w:r>
      <w:r>
        <w:rPr>
          <w:rFonts w:hint="eastAsia" w:ascii="仿宋_GB2312" w:hAnsi="仿宋_GB2312" w:eastAsia="仿宋_GB2312" w:cs="仿宋_GB2312"/>
          <w:w w:val="95"/>
          <w:sz w:val="32"/>
          <w:szCs w:val="32"/>
          <w:lang w:val="en-US" w:eastAsia="en-US" w:bidi="ar-SA"/>
        </w:rPr>
        <w:t>参照</w:t>
      </w:r>
      <w:r>
        <w:rPr>
          <w:rFonts w:hint="eastAsia" w:ascii="仿宋" w:hAnsi="仿宋" w:eastAsia="仿宋" w:cs="仿宋"/>
          <w:sz w:val="32"/>
          <w:szCs w:val="32"/>
        </w:rPr>
        <w:t>《关于印发&lt;共青团东湖区委202</w:t>
      </w:r>
      <w:r>
        <w:rPr>
          <w:rFonts w:hint="eastAsia" w:ascii="仿宋" w:hAnsi="仿宋" w:eastAsia="仿宋" w:cs="仿宋"/>
          <w:sz w:val="32"/>
          <w:szCs w:val="32"/>
          <w:lang w:val="en-US" w:eastAsia="zh-CN"/>
        </w:rPr>
        <w:t>1</w:t>
      </w:r>
      <w:r>
        <w:rPr>
          <w:rFonts w:hint="eastAsia" w:ascii="仿宋" w:hAnsi="仿宋" w:eastAsia="仿宋" w:cs="仿宋"/>
          <w:sz w:val="32"/>
          <w:szCs w:val="32"/>
        </w:rPr>
        <w:t>年工作要点&gt;的通知》（东青发〔202</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号）</w:t>
      </w:r>
      <w:r>
        <w:rPr>
          <w:rFonts w:hint="eastAsia" w:ascii="仿宋" w:hAnsi="仿宋" w:eastAsia="仿宋" w:cs="仿宋"/>
          <w:sz w:val="32"/>
          <w:szCs w:val="32"/>
          <w:lang w:eastAsia="zh-CN"/>
        </w:rPr>
        <w:t>文件精神</w:t>
      </w:r>
      <w:r>
        <w:rPr>
          <w:rFonts w:hint="eastAsia" w:ascii="仿宋_GB2312" w:hAnsi="仿宋_GB2312" w:eastAsia="仿宋_GB2312" w:cs="仿宋_GB2312"/>
          <w:w w:val="95"/>
          <w:sz w:val="32"/>
          <w:szCs w:val="32"/>
          <w:lang w:val="en-US" w:eastAsia="en-US" w:bidi="ar-SA"/>
        </w:rPr>
        <w:t>。</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textAlignment w:val="auto"/>
        <w:rPr>
          <w:rFonts w:hint="eastAsia" w:ascii="宋体" w:hAnsi="宋体" w:eastAsia="宋体" w:cs="Times New Roman"/>
          <w:b/>
          <w:bCs/>
          <w:sz w:val="30"/>
          <w:szCs w:val="30"/>
          <w:lang w:eastAsia="zh-CN"/>
        </w:rPr>
      </w:pPr>
      <w:r>
        <w:rPr>
          <w:rFonts w:hint="eastAsia" w:ascii="宋体" w:hAnsi="宋体" w:eastAsia="宋体" w:cs="Times New Roman"/>
          <w:b/>
          <w:bCs/>
          <w:sz w:val="30"/>
          <w:szCs w:val="30"/>
        </w:rPr>
        <w:t>实施期限</w:t>
      </w:r>
      <w:r>
        <w:rPr>
          <w:rFonts w:hint="eastAsia" w:ascii="宋体" w:hAnsi="宋体" w:eastAsia="宋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08" w:firstLineChars="200"/>
        <w:textAlignment w:val="auto"/>
        <w:rPr>
          <w:rFonts w:hint="eastAsia" w:ascii="仿宋_GB2312" w:hAnsi="仿宋_GB2312" w:eastAsia="仿宋_GB2312" w:cs="仿宋_GB2312"/>
          <w:w w:val="95"/>
          <w:sz w:val="32"/>
          <w:szCs w:val="32"/>
          <w:lang w:val="en-US" w:eastAsia="en-US" w:bidi="ar-SA"/>
        </w:rPr>
      </w:pPr>
      <w:r>
        <w:rPr>
          <w:rFonts w:hint="eastAsia" w:ascii="仿宋_GB2312" w:hAnsi="仿宋_GB2312" w:eastAsia="仿宋_GB2312" w:cs="仿宋_GB2312"/>
          <w:w w:val="95"/>
          <w:sz w:val="32"/>
          <w:szCs w:val="32"/>
          <w:lang w:val="en-US" w:eastAsia="en-US" w:bidi="ar-SA"/>
        </w:rPr>
        <w:t>项目计划完成期限：20</w:t>
      </w:r>
      <w:r>
        <w:rPr>
          <w:rFonts w:hint="eastAsia" w:ascii="仿宋_GB2312" w:hAnsi="仿宋_GB2312" w:eastAsia="仿宋_GB2312" w:cs="仿宋_GB2312"/>
          <w:w w:val="95"/>
          <w:sz w:val="32"/>
          <w:szCs w:val="32"/>
          <w:lang w:val="en-US" w:eastAsia="zh-CN" w:bidi="ar-SA"/>
        </w:rPr>
        <w:t>2</w:t>
      </w:r>
      <w:r>
        <w:rPr>
          <w:rFonts w:hint="eastAsia" w:cs="仿宋_GB2312"/>
          <w:w w:val="95"/>
          <w:sz w:val="32"/>
          <w:szCs w:val="32"/>
          <w:lang w:val="en-US" w:eastAsia="zh-CN" w:bidi="ar-SA"/>
        </w:rPr>
        <w:t>1</w:t>
      </w:r>
      <w:r>
        <w:rPr>
          <w:rFonts w:hint="eastAsia" w:ascii="仿宋_GB2312" w:hAnsi="仿宋_GB2312" w:eastAsia="仿宋_GB2312" w:cs="仿宋_GB2312"/>
          <w:w w:val="95"/>
          <w:sz w:val="32"/>
          <w:szCs w:val="32"/>
          <w:lang w:val="en-US" w:eastAsia="en-US" w:bidi="ar-SA"/>
        </w:rPr>
        <w:t>年1月1日--20</w:t>
      </w:r>
      <w:r>
        <w:rPr>
          <w:rFonts w:hint="eastAsia" w:ascii="仿宋_GB2312" w:hAnsi="仿宋_GB2312" w:eastAsia="仿宋_GB2312" w:cs="仿宋_GB2312"/>
          <w:w w:val="95"/>
          <w:sz w:val="32"/>
          <w:szCs w:val="32"/>
          <w:lang w:val="en-US" w:eastAsia="zh-CN" w:bidi="ar-SA"/>
        </w:rPr>
        <w:t>2</w:t>
      </w:r>
      <w:r>
        <w:rPr>
          <w:rFonts w:hint="eastAsia" w:cs="仿宋_GB2312"/>
          <w:w w:val="95"/>
          <w:sz w:val="32"/>
          <w:szCs w:val="32"/>
          <w:lang w:val="en-US" w:eastAsia="zh-CN" w:bidi="ar-SA"/>
        </w:rPr>
        <w:t>1</w:t>
      </w:r>
      <w:r>
        <w:rPr>
          <w:rFonts w:hint="eastAsia" w:ascii="仿宋_GB2312" w:hAnsi="仿宋_GB2312" w:eastAsia="仿宋_GB2312" w:cs="仿宋_GB2312"/>
          <w:w w:val="95"/>
          <w:sz w:val="32"/>
          <w:szCs w:val="32"/>
          <w:lang w:val="en-US" w:eastAsia="en-US" w:bidi="ar-SA"/>
        </w:rPr>
        <w:t>年12月31日</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08" w:firstLineChars="200"/>
        <w:textAlignment w:val="auto"/>
        <w:rPr>
          <w:rFonts w:hint="eastAsia" w:ascii="仿宋_GB2312" w:hAnsi="仿宋_GB2312" w:eastAsia="仿宋_GB2312" w:cs="仿宋_GB2312"/>
          <w:w w:val="95"/>
          <w:sz w:val="32"/>
          <w:szCs w:val="32"/>
          <w:lang w:val="en-US" w:eastAsia="en-US" w:bidi="ar-SA"/>
        </w:rPr>
      </w:pPr>
      <w:r>
        <w:rPr>
          <w:rFonts w:hint="eastAsia" w:ascii="仿宋_GB2312" w:hAnsi="仿宋_GB2312" w:eastAsia="仿宋_GB2312" w:cs="仿宋_GB2312"/>
          <w:w w:val="95"/>
          <w:sz w:val="32"/>
          <w:szCs w:val="32"/>
          <w:lang w:val="en-US" w:eastAsia="en-US" w:bidi="ar-SA"/>
        </w:rPr>
        <w:t>项目实际完成期限：20</w:t>
      </w:r>
      <w:r>
        <w:rPr>
          <w:rFonts w:hint="eastAsia" w:ascii="仿宋_GB2312" w:hAnsi="仿宋_GB2312" w:eastAsia="仿宋_GB2312" w:cs="仿宋_GB2312"/>
          <w:w w:val="95"/>
          <w:sz w:val="32"/>
          <w:szCs w:val="32"/>
          <w:lang w:val="en-US" w:eastAsia="zh-CN" w:bidi="ar-SA"/>
        </w:rPr>
        <w:t>2</w:t>
      </w:r>
      <w:r>
        <w:rPr>
          <w:rFonts w:hint="eastAsia" w:cs="仿宋_GB2312"/>
          <w:w w:val="95"/>
          <w:sz w:val="32"/>
          <w:szCs w:val="32"/>
          <w:lang w:val="en-US" w:eastAsia="zh-CN" w:bidi="ar-SA"/>
        </w:rPr>
        <w:t>1</w:t>
      </w:r>
      <w:r>
        <w:rPr>
          <w:rFonts w:hint="eastAsia" w:ascii="仿宋_GB2312" w:hAnsi="仿宋_GB2312" w:eastAsia="仿宋_GB2312" w:cs="仿宋_GB2312"/>
          <w:w w:val="95"/>
          <w:sz w:val="32"/>
          <w:szCs w:val="32"/>
          <w:lang w:val="en-US" w:eastAsia="en-US" w:bidi="ar-SA"/>
        </w:rPr>
        <w:t>年1月1日--20</w:t>
      </w:r>
      <w:r>
        <w:rPr>
          <w:rFonts w:hint="eastAsia" w:ascii="仿宋_GB2312" w:hAnsi="仿宋_GB2312" w:eastAsia="仿宋_GB2312" w:cs="仿宋_GB2312"/>
          <w:w w:val="95"/>
          <w:sz w:val="32"/>
          <w:szCs w:val="32"/>
          <w:lang w:val="en-US" w:eastAsia="zh-CN" w:bidi="ar-SA"/>
        </w:rPr>
        <w:t>2</w:t>
      </w:r>
      <w:r>
        <w:rPr>
          <w:rFonts w:hint="eastAsia" w:cs="仿宋_GB2312"/>
          <w:w w:val="95"/>
          <w:sz w:val="32"/>
          <w:szCs w:val="32"/>
          <w:lang w:val="en-US" w:eastAsia="zh-CN" w:bidi="ar-SA"/>
        </w:rPr>
        <w:t>1</w:t>
      </w:r>
      <w:r>
        <w:rPr>
          <w:rFonts w:hint="eastAsia" w:ascii="仿宋_GB2312" w:hAnsi="仿宋_GB2312" w:eastAsia="仿宋_GB2312" w:cs="仿宋_GB2312"/>
          <w:w w:val="95"/>
          <w:sz w:val="32"/>
          <w:szCs w:val="32"/>
          <w:lang w:val="en-US" w:eastAsia="en-US" w:bidi="ar-SA"/>
        </w:rPr>
        <w:t>年12月31日</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02" w:firstLineChars="200"/>
        <w:textAlignment w:val="auto"/>
        <w:rPr>
          <w:rFonts w:hint="eastAsia" w:ascii="宋体" w:hAnsi="宋体" w:eastAsia="宋体" w:cs="Times New Roman"/>
          <w:b/>
          <w:bCs/>
          <w:sz w:val="30"/>
          <w:szCs w:val="30"/>
          <w:lang w:eastAsia="zh-CN"/>
        </w:rPr>
      </w:pPr>
      <w:r>
        <w:rPr>
          <w:rFonts w:hint="eastAsia" w:ascii="宋体" w:hAnsi="宋体" w:eastAsia="宋体" w:cs="Times New Roman"/>
          <w:b/>
          <w:bCs/>
          <w:sz w:val="30"/>
          <w:szCs w:val="30"/>
        </w:rPr>
        <w:t>资金的使用情况</w:t>
      </w:r>
      <w:r>
        <w:rPr>
          <w:rFonts w:hint="eastAsia" w:ascii="宋体" w:hAnsi="宋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line="560" w:lineRule="exact"/>
        <w:ind w:left="0" w:right="0" w:firstLine="608" w:firstLineChars="200"/>
        <w:textAlignment w:val="auto"/>
        <w:rPr>
          <w:rFonts w:hint="eastAsia" w:ascii="仿宋_GB2312" w:hAnsi="仿宋_GB2312" w:eastAsia="仿宋_GB2312" w:cs="仿宋_GB2312"/>
          <w:w w:val="95"/>
          <w:sz w:val="32"/>
          <w:szCs w:val="32"/>
          <w:lang w:val="en-US" w:eastAsia="en-US" w:bidi="ar-SA"/>
        </w:rPr>
      </w:pPr>
      <w:r>
        <w:rPr>
          <w:rFonts w:hint="eastAsia" w:ascii="仿宋_GB2312" w:hAnsi="仿宋_GB2312" w:eastAsia="仿宋_GB2312" w:cs="仿宋_GB2312"/>
          <w:w w:val="95"/>
          <w:sz w:val="32"/>
          <w:szCs w:val="32"/>
          <w:lang w:val="en-US" w:eastAsia="en-US" w:bidi="ar-SA"/>
        </w:rPr>
        <w:t>本项目20</w:t>
      </w:r>
      <w:r>
        <w:rPr>
          <w:rFonts w:hint="eastAsia" w:ascii="仿宋_GB2312" w:hAnsi="仿宋_GB2312" w:eastAsia="仿宋_GB2312" w:cs="仿宋_GB2312"/>
          <w:w w:val="95"/>
          <w:sz w:val="32"/>
          <w:szCs w:val="32"/>
          <w:lang w:val="en-US" w:eastAsia="zh-CN" w:bidi="ar-SA"/>
        </w:rPr>
        <w:t>2</w:t>
      </w:r>
      <w:r>
        <w:rPr>
          <w:rFonts w:hint="eastAsia" w:cs="仿宋_GB2312"/>
          <w:w w:val="95"/>
          <w:sz w:val="32"/>
          <w:szCs w:val="32"/>
          <w:lang w:val="en-US" w:eastAsia="zh-CN" w:bidi="ar-SA"/>
        </w:rPr>
        <w:t>1</w:t>
      </w:r>
      <w:r>
        <w:rPr>
          <w:rFonts w:hint="eastAsia" w:ascii="仿宋_GB2312" w:hAnsi="仿宋_GB2312" w:eastAsia="仿宋_GB2312" w:cs="仿宋_GB2312"/>
          <w:w w:val="95"/>
          <w:sz w:val="32"/>
          <w:szCs w:val="32"/>
          <w:lang w:val="en-US" w:eastAsia="en-US" w:bidi="ar-SA"/>
        </w:rPr>
        <w:t>年预算安排资金为</w:t>
      </w:r>
      <w:r>
        <w:rPr>
          <w:rFonts w:hint="eastAsia" w:cs="仿宋_GB2312"/>
          <w:w w:val="95"/>
          <w:sz w:val="32"/>
          <w:szCs w:val="32"/>
          <w:lang w:val="en-US" w:eastAsia="zh-CN" w:bidi="ar-SA"/>
        </w:rPr>
        <w:t>37.65</w:t>
      </w:r>
      <w:r>
        <w:rPr>
          <w:rFonts w:hint="eastAsia" w:ascii="仿宋_GB2312" w:hAnsi="仿宋_GB2312" w:eastAsia="仿宋_GB2312" w:cs="仿宋_GB2312"/>
          <w:w w:val="95"/>
          <w:sz w:val="32"/>
          <w:szCs w:val="32"/>
          <w:lang w:val="en-US" w:eastAsia="en-US" w:bidi="ar-SA"/>
        </w:rPr>
        <w:t>万元（全部来源于财政拨款），实际到位</w:t>
      </w:r>
      <w:r>
        <w:rPr>
          <w:rFonts w:hint="eastAsia" w:cs="仿宋_GB2312"/>
          <w:w w:val="95"/>
          <w:sz w:val="32"/>
          <w:szCs w:val="32"/>
          <w:lang w:val="en-US" w:eastAsia="zh-CN" w:bidi="ar-SA"/>
        </w:rPr>
        <w:t>37.65</w:t>
      </w:r>
      <w:r>
        <w:rPr>
          <w:rFonts w:hint="eastAsia" w:ascii="仿宋_GB2312" w:hAnsi="仿宋_GB2312" w:eastAsia="仿宋_GB2312" w:cs="仿宋_GB2312"/>
          <w:w w:val="95"/>
          <w:sz w:val="32"/>
          <w:szCs w:val="32"/>
          <w:lang w:val="en-US" w:eastAsia="en-US" w:bidi="ar-SA"/>
        </w:rPr>
        <w:t>万元，实际支出</w:t>
      </w:r>
      <w:r>
        <w:rPr>
          <w:rFonts w:hint="eastAsia" w:cs="仿宋_GB2312"/>
          <w:w w:val="95"/>
          <w:sz w:val="32"/>
          <w:szCs w:val="32"/>
          <w:lang w:val="en-US" w:eastAsia="zh-CN" w:bidi="ar-SA"/>
        </w:rPr>
        <w:t>37.65</w:t>
      </w:r>
      <w:r>
        <w:rPr>
          <w:rFonts w:hint="eastAsia" w:ascii="仿宋_GB2312" w:hAnsi="仿宋_GB2312" w:eastAsia="仿宋_GB2312" w:cs="仿宋_GB2312"/>
          <w:w w:val="95"/>
          <w:sz w:val="32"/>
          <w:szCs w:val="32"/>
          <w:lang w:val="en-US" w:eastAsia="en-US" w:bidi="ar-SA"/>
        </w:rPr>
        <w:t>万元。</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firstLine="643" w:firstLineChars="0"/>
        <w:jc w:val="both"/>
        <w:textAlignment w:val="auto"/>
        <w:rPr>
          <w:rFonts w:hint="eastAsia" w:ascii="楷体" w:hAnsi="楷体" w:eastAsia="楷体" w:cs="楷体"/>
          <w:b/>
          <w:bCs/>
          <w:kern w:val="2"/>
          <w:sz w:val="32"/>
          <w:szCs w:val="32"/>
          <w:lang w:val="en-US" w:eastAsia="en-US" w:bidi="ar-SA"/>
        </w:rPr>
      </w:pPr>
      <w:r>
        <w:rPr>
          <w:rFonts w:hint="eastAsia" w:ascii="楷体" w:hAnsi="楷体" w:eastAsia="楷体" w:cs="楷体"/>
          <w:b/>
          <w:bCs/>
          <w:kern w:val="2"/>
          <w:sz w:val="32"/>
          <w:szCs w:val="32"/>
          <w:lang w:val="en-US" w:eastAsia="en-US" w:bidi="ar-SA"/>
        </w:rPr>
        <w:t>项目绩效目标</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right="0" w:rightChars="0" w:firstLine="643" w:firstLineChars="200"/>
        <w:jc w:val="both"/>
        <w:textAlignment w:val="auto"/>
        <w:rPr>
          <w:rFonts w:hint="eastAsia" w:ascii="楷体" w:hAnsi="楷体" w:eastAsia="楷体" w:cs="楷体"/>
          <w:b/>
          <w:bCs/>
          <w:kern w:val="2"/>
          <w:sz w:val="32"/>
          <w:szCs w:val="32"/>
          <w:lang w:val="en-US" w:eastAsia="zh-CN"/>
        </w:rPr>
      </w:pPr>
      <w:r>
        <w:rPr>
          <w:rFonts w:hint="eastAsia" w:ascii="楷体" w:hAnsi="楷体" w:eastAsia="楷体" w:cs="楷体"/>
          <w:b/>
          <w:bCs/>
          <w:kern w:val="2"/>
          <w:sz w:val="32"/>
          <w:szCs w:val="32"/>
          <w:lang w:val="en-US" w:eastAsia="zh-CN"/>
        </w:rPr>
        <w:t>1.项目绩效总目标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仿宋_GB2312" w:eastAsia="仿宋_GB2312"/>
          <w:sz w:val="32"/>
          <w:szCs w:val="32"/>
        </w:rPr>
      </w:pPr>
      <w:r>
        <w:rPr>
          <w:rFonts w:hint="eastAsia" w:ascii="仿宋_GB2312" w:eastAsia="仿宋_GB2312"/>
          <w:sz w:val="32"/>
          <w:szCs w:val="32"/>
        </w:rPr>
        <w:t>健全稳定规范的共青团工作经费保障，全面推动东湖区共青团工作稳步开展。覆盖共青团东湖区委职责范围内的各项青少年相关工作，“东青号”、预防青少年犯罪工作、少先队工作、基层团组织工作等涉及东湖区共青团品牌工程和重大活动和上级交办的各项任务经费，完成年度少先队工作考核、基层团组织工作考核目标。</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firstLineChars="200"/>
        <w:jc w:val="both"/>
        <w:textAlignment w:val="auto"/>
        <w:rPr>
          <w:rFonts w:hint="eastAsia" w:ascii="楷体" w:hAnsi="楷体" w:eastAsia="楷体" w:cs="楷体"/>
          <w:b/>
          <w:bCs/>
          <w:kern w:val="2"/>
          <w:sz w:val="32"/>
          <w:szCs w:val="32"/>
          <w:lang w:val="en-US" w:eastAsia="zh-CN"/>
        </w:rPr>
      </w:pPr>
      <w:r>
        <w:rPr>
          <w:rFonts w:hint="eastAsia" w:ascii="楷体" w:hAnsi="楷体" w:eastAsia="楷体" w:cs="楷体"/>
          <w:b/>
          <w:bCs/>
          <w:kern w:val="2"/>
          <w:sz w:val="32"/>
          <w:szCs w:val="32"/>
          <w:lang w:val="en-US" w:eastAsia="zh-CN"/>
        </w:rPr>
        <w:t>2.项目年度绩效目标</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left="0" w:right="0" w:firstLine="608" w:firstLineChars="200"/>
        <w:jc w:val="both"/>
        <w:textAlignment w:val="auto"/>
        <w:rPr>
          <w:rFonts w:hint="eastAsia" w:ascii="仿宋_GB2312" w:hAnsi="仿宋_GB2312" w:eastAsia="仿宋_GB2312" w:cs="仿宋_GB2312"/>
          <w:w w:val="95"/>
          <w:sz w:val="32"/>
          <w:szCs w:val="32"/>
          <w:lang w:val="en-US" w:eastAsia="zh-CN" w:bidi="ar-SA"/>
        </w:rPr>
      </w:pPr>
      <w:r>
        <w:rPr>
          <w:rFonts w:hint="eastAsia" w:ascii="仿宋_GB2312" w:hAnsi="仿宋_GB2312" w:eastAsia="仿宋_GB2312" w:cs="仿宋_GB2312"/>
          <w:w w:val="95"/>
          <w:sz w:val="32"/>
          <w:szCs w:val="32"/>
          <w:lang w:val="en-US" w:eastAsia="en-US" w:bidi="ar-SA"/>
        </w:rPr>
        <w:t>开展庆祝建党100周年主题宣传教育实践活动</w:t>
      </w:r>
      <w:r>
        <w:rPr>
          <w:rFonts w:hint="eastAsia" w:ascii="仿宋_GB2312" w:hAnsi="仿宋_GB2312" w:eastAsia="仿宋_GB2312" w:cs="仿宋_GB2312"/>
          <w:w w:val="95"/>
          <w:sz w:val="32"/>
          <w:szCs w:val="32"/>
          <w:lang w:val="en-US" w:eastAsia="zh-CN" w:bidi="ar-SA"/>
        </w:rPr>
        <w:t>，结合五四、六一、七一等重要时间节点，在团员青年、少先队员中广泛开展“青春心向党 奋斗新征程”评选表彰大会、歌咏大赛，“请党放心 强国有我”“红领巾心向党”主题团队日活动。</w:t>
      </w:r>
      <w:r>
        <w:rPr>
          <w:rFonts w:hint="eastAsia" w:ascii="仿宋_GB2312" w:hAnsi="仿宋_GB2312" w:eastAsia="仿宋_GB2312" w:cs="仿宋_GB2312"/>
          <w:w w:val="95"/>
          <w:sz w:val="32"/>
          <w:szCs w:val="32"/>
          <w:lang w:val="en-US" w:eastAsia="en-US" w:bidi="ar-SA"/>
        </w:rPr>
        <w:t>开展</w:t>
      </w:r>
      <w:r>
        <w:rPr>
          <w:rFonts w:hint="eastAsia" w:ascii="仿宋_GB2312" w:hAnsi="仿宋_GB2312" w:eastAsia="仿宋_GB2312" w:cs="仿宋_GB2312"/>
          <w:w w:val="95"/>
          <w:sz w:val="32"/>
          <w:szCs w:val="32"/>
          <w:lang w:val="en-US" w:eastAsia="zh-CN" w:bidi="ar-SA"/>
        </w:rPr>
        <w:t>县域共青团基层团组织改革试点，</w:t>
      </w:r>
      <w:r>
        <w:rPr>
          <w:rFonts w:hint="eastAsia" w:ascii="仿宋_GB2312" w:hAnsi="仿宋_GB2312" w:eastAsia="仿宋_GB2312" w:cs="仿宋_GB2312"/>
          <w:w w:val="95"/>
          <w:sz w:val="32"/>
          <w:szCs w:val="32"/>
          <w:lang w:val="en-US" w:eastAsia="en-US" w:bidi="ar-SA"/>
        </w:rPr>
        <w:t>坚持党建带团建，深化“青年之家”建设三年行动，每月至少开展2场次的活动，累计参加人数不少于40人次；深入开展青年大学习行动，线上利用微信等新媒体平台开展网上主题团课学习，定期推送学习内容，每日学习打卡，不定期组织知识竞赛等</w:t>
      </w:r>
      <w:r>
        <w:rPr>
          <w:rFonts w:hint="eastAsia" w:ascii="仿宋_GB2312" w:hAnsi="仿宋_GB2312" w:eastAsia="仿宋_GB2312" w:cs="仿宋_GB2312"/>
          <w:w w:val="95"/>
          <w:sz w:val="32"/>
          <w:szCs w:val="32"/>
          <w:lang w:val="en-US" w:eastAsia="zh-CN" w:bidi="ar-SA"/>
        </w:rPr>
        <w:t>。组织东青志愿者服务新冠疫苗接种，助推营商环境提升，参与“文明创建”，开展“我为群众办实事”志愿活动。</w:t>
      </w:r>
      <w:r>
        <w:rPr>
          <w:rFonts w:hint="eastAsia" w:ascii="仿宋_GB2312" w:hAnsi="仿宋_GB2312" w:eastAsia="仿宋_GB2312" w:cs="仿宋_GB2312"/>
          <w:w w:val="95"/>
          <w:sz w:val="32"/>
          <w:szCs w:val="32"/>
          <w:lang w:val="en-US" w:eastAsia="en-US" w:bidi="ar-SA"/>
        </w:rPr>
        <w:t>常态化开展“童心圆梦公益性社区少年宫”“青清行动”“三点半课堂”“点亮微心愿”等个性化品牌项目，使之成为全省叫得响的东湖志愿服务品牌</w:t>
      </w:r>
      <w:r>
        <w:rPr>
          <w:rFonts w:hint="eastAsia" w:ascii="仿宋_GB2312" w:hAnsi="仿宋_GB2312" w:eastAsia="仿宋_GB2312" w:cs="仿宋_GB2312"/>
          <w:w w:val="95"/>
          <w:sz w:val="32"/>
          <w:szCs w:val="32"/>
          <w:lang w:val="en-US" w:eastAsia="zh-CN" w:bidi="ar-SA"/>
        </w:rPr>
        <w:t>。</w:t>
      </w:r>
      <w:r>
        <w:rPr>
          <w:rFonts w:hint="eastAsia" w:ascii="仿宋_GB2312" w:hAnsi="仿宋_GB2312" w:eastAsia="仿宋_GB2312" w:cs="仿宋_GB2312"/>
          <w:w w:val="95"/>
          <w:sz w:val="32"/>
          <w:szCs w:val="32"/>
          <w:lang w:val="en-US" w:eastAsia="en-US" w:bidi="ar-SA"/>
        </w:rPr>
        <w:t>抓住“10·13”建队日、“12·4”法制宣传日等重要节点，开展</w:t>
      </w:r>
      <w:r>
        <w:rPr>
          <w:rFonts w:hint="eastAsia" w:ascii="仿宋_GB2312" w:hAnsi="仿宋_GB2312" w:eastAsia="仿宋_GB2312" w:cs="仿宋_GB2312"/>
          <w:w w:val="95"/>
          <w:sz w:val="32"/>
          <w:szCs w:val="32"/>
          <w:lang w:val="en-US" w:eastAsia="zh-CN" w:bidi="ar-SA"/>
        </w:rPr>
        <w:t>“请党放心 强国有我”主题队日暨分批入队仪式教育。</w:t>
      </w:r>
      <w:r>
        <w:rPr>
          <w:rFonts w:hint="eastAsia" w:ascii="仿宋_GB2312" w:hAnsi="仿宋_GB2312" w:eastAsia="仿宋_GB2312" w:cs="仿宋_GB2312"/>
          <w:w w:val="95"/>
          <w:sz w:val="32"/>
          <w:szCs w:val="32"/>
          <w:lang w:val="en-US" w:eastAsia="en-US" w:bidi="ar-SA"/>
        </w:rPr>
        <w:t>牵头做好重点青少年群体服务管理和预防青少年违法犯罪工作，确保工作成效全区排名靠前</w:t>
      </w:r>
      <w:r>
        <w:rPr>
          <w:rFonts w:hint="eastAsia" w:ascii="仿宋_GB2312" w:hAnsi="仿宋_GB2312" w:eastAsia="仿宋_GB2312" w:cs="仿宋_GB2312"/>
          <w:w w:val="95"/>
          <w:sz w:val="32"/>
          <w:szCs w:val="32"/>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firstLineChars="200"/>
        <w:jc w:val="both"/>
        <w:textAlignment w:val="auto"/>
        <w:rPr>
          <w:rFonts w:hint="eastAsia" w:ascii="楷体" w:hAnsi="楷体" w:eastAsia="楷体" w:cs="楷体"/>
          <w:b/>
          <w:bCs/>
          <w:kern w:val="2"/>
          <w:sz w:val="32"/>
          <w:szCs w:val="32"/>
          <w:lang w:val="en-US" w:eastAsia="zh-CN"/>
        </w:rPr>
      </w:pPr>
      <w:r>
        <w:rPr>
          <w:rFonts w:hint="eastAsia" w:ascii="楷体" w:hAnsi="楷体" w:eastAsia="楷体" w:cs="楷体"/>
          <w:b/>
          <w:bCs/>
          <w:kern w:val="2"/>
          <w:sz w:val="32"/>
          <w:szCs w:val="32"/>
          <w:lang w:val="en-US" w:eastAsia="zh-CN"/>
        </w:rPr>
        <w:t>3.项目预期目标完成情况</w:t>
      </w:r>
    </w:p>
    <w:p>
      <w:pPr>
        <w:pStyle w:val="2"/>
        <w:keepNext w:val="0"/>
        <w:keepLines w:val="0"/>
        <w:pageBreakBefore w:val="0"/>
        <w:widowControl w:val="0"/>
        <w:kinsoku/>
        <w:wordWrap/>
        <w:overflowPunct/>
        <w:topLinePunct w:val="0"/>
        <w:bidi w:val="0"/>
        <w:adjustRightInd/>
        <w:snapToGrid/>
        <w:spacing w:before="0" w:line="560" w:lineRule="exact"/>
        <w:ind w:left="0" w:right="0" w:firstLine="640" w:firstLineChars="200"/>
        <w:textAlignment w:val="auto"/>
        <w:rPr>
          <w:rFonts w:hint="eastAsia" w:cs="仿宋_GB2312"/>
          <w:lang w:val="en-US" w:eastAsia="zh-CN"/>
        </w:rPr>
      </w:pPr>
      <w:r>
        <w:rPr>
          <w:rFonts w:hint="eastAsia" w:ascii="仿宋_GB2312" w:hAnsi="仿宋_GB2312" w:eastAsia="仿宋_GB2312" w:cs="仿宋_GB2312"/>
        </w:rPr>
        <w:t>打造湖畔美书阁“学党史，强信念，跟党走”东湖区青少年党史学习教育活动基地，结合五四、六一、七一等重要时间节点，开展“学党史，强信念，跟党走”集中离队入团仪式、“青春心向党 奋斗新征程”评选表彰大会，“请党放心 强国有我”“红领巾心向党”主题团队日活动。成立了以区委书记为组长的县域共青团基层组织改革领导小组，细化25项改革措施强力攻坚。依托青年之家阵地，积极开展“社区青春行动”系列志愿服务活动，每月至少开展2场次的活动，累计参加人数不少于40人次。招募疫苗接种东青志愿者920余人次，在方舱接种点顺利完成了13万人次疫苗接种的光荣使命。打造全市首个区行政服务中心青年志愿服务站，累计招募300余名大学生青年志愿者，服务企业、办事群众2.3万人次。开展“青英归巢”“童心圆梦公益性社区少年宫”“青清行动”、“三点半课堂”“点亮微心愿”等个性化品牌项目。全面开展分批入队、“红领巾奖章”争章和系列评选表彰，打造一批校外社区少工委，在“六一”“十一三”等</w:t>
      </w:r>
      <w:bookmarkStart w:id="6" w:name="_GoBack"/>
      <w:bookmarkEnd w:id="6"/>
      <w:r>
        <w:rPr>
          <w:rFonts w:hint="eastAsia" w:ascii="仿宋_GB2312" w:hAnsi="仿宋_GB2312" w:eastAsia="仿宋_GB2312" w:cs="仿宋_GB2312"/>
        </w:rPr>
        <w:t>少先队重大节庆日开展“请党放心 强国有我”主题队日暨分批入队仪式教育。开展“司法救助回访 关爱青少年成长”、2021年“宪法宣传周”活动，有效预防青少年违法犯罪。</w:t>
      </w:r>
      <w:r>
        <w:rPr>
          <w:rFonts w:hint="eastAsia" w:cs="仿宋_GB2312"/>
          <w:lang w:val="en-US" w:eastAsia="zh-CN"/>
        </w:rPr>
        <w:t xml:space="preserve">  </w:t>
      </w:r>
    </w:p>
    <w:p>
      <w:pPr>
        <w:pStyle w:val="2"/>
        <w:keepNext w:val="0"/>
        <w:keepLines w:val="0"/>
        <w:pageBreakBefore w:val="0"/>
        <w:widowControl w:val="0"/>
        <w:kinsoku/>
        <w:wordWrap/>
        <w:overflowPunct/>
        <w:topLinePunct w:val="0"/>
        <w:bidi w:val="0"/>
        <w:adjustRightInd/>
        <w:snapToGrid/>
        <w:spacing w:before="0" w:line="560" w:lineRule="exact"/>
        <w:ind w:left="0" w:right="0" w:firstLine="640" w:firstLineChars="200"/>
        <w:textAlignment w:val="auto"/>
        <w:rPr>
          <w:rFonts w:hint="eastAsia" w:ascii="黑体" w:eastAsia="黑体"/>
        </w:rPr>
      </w:pPr>
      <w:r>
        <w:rPr>
          <w:rFonts w:hint="eastAsia" w:ascii="黑体" w:eastAsia="黑体"/>
        </w:rPr>
        <w:t>二、绩效评价工作开展情况</w:t>
      </w:r>
    </w:p>
    <w:p>
      <w:pPr>
        <w:pStyle w:val="2"/>
        <w:keepNext w:val="0"/>
        <w:keepLines w:val="0"/>
        <w:pageBreakBefore w:val="0"/>
        <w:widowControl w:val="0"/>
        <w:kinsoku/>
        <w:wordWrap/>
        <w:overflowPunct/>
        <w:topLinePunct w:val="0"/>
        <w:bidi w:val="0"/>
        <w:adjustRightInd/>
        <w:snapToGrid/>
        <w:spacing w:before="0" w:line="560" w:lineRule="exact"/>
        <w:ind w:left="0" w:right="0" w:firstLine="643" w:firstLineChars="200"/>
        <w:textAlignment w:val="auto"/>
        <w:rPr>
          <w:rFonts w:hint="eastAsia" w:ascii="楷体" w:hAnsi="楷体" w:eastAsia="楷体" w:cs="楷体"/>
          <w:b/>
          <w:bCs/>
          <w:kern w:val="2"/>
          <w:sz w:val="32"/>
          <w:szCs w:val="32"/>
          <w:lang w:val="en-US" w:eastAsia="zh-CN" w:bidi="ar-SA"/>
        </w:rPr>
      </w:pPr>
      <w:bookmarkStart w:id="3" w:name="（一）绩效评价目的、对象和范围。"/>
      <w:bookmarkEnd w:id="3"/>
      <w:r>
        <w:rPr>
          <w:rFonts w:hint="eastAsia" w:ascii="楷体" w:hAnsi="楷体" w:eastAsia="楷体" w:cs="楷体"/>
          <w:b/>
          <w:bCs/>
          <w:kern w:val="2"/>
          <w:sz w:val="32"/>
          <w:szCs w:val="32"/>
          <w:lang w:val="en-US" w:eastAsia="zh-CN" w:bidi="ar-SA"/>
        </w:rPr>
        <w:t>（一）绩效评价目的、对象和范围</w:t>
      </w:r>
    </w:p>
    <w:p>
      <w:pPr>
        <w:pageBreakBefore w:val="0"/>
        <w:kinsoku/>
        <w:wordWrap/>
        <w:overflowPunct/>
        <w:autoSpaceDE/>
        <w:autoSpaceDN/>
        <w:bidi w:val="0"/>
        <w:adjustRightInd/>
        <w:spacing w:line="560" w:lineRule="exact"/>
        <w:ind w:firstLine="640" w:firstLineChars="200"/>
        <w:rPr>
          <w:rFonts w:hint="eastAsia" w:ascii="仿宋_GB2312" w:hAnsi="仿宋_GB2312" w:eastAsia="仿宋_GB2312" w:cs="仿宋_GB2312"/>
          <w:sz w:val="32"/>
          <w:szCs w:val="32"/>
          <w:lang w:val="en-US" w:eastAsia="en-US" w:bidi="ar-SA"/>
        </w:rPr>
      </w:pPr>
      <w:r>
        <w:rPr>
          <w:rFonts w:hint="eastAsia" w:ascii="仿宋_GB2312" w:hAnsi="仿宋_GB2312" w:eastAsia="仿宋_GB2312" w:cs="仿宋_GB2312"/>
          <w:sz w:val="32"/>
          <w:szCs w:val="32"/>
          <w:lang w:val="en-US" w:eastAsia="en-US" w:bidi="ar-SA"/>
        </w:rPr>
        <w:t>本次绩效评价从项目执行过程中的投入、管理制度建设、资金使用规范性、项目资金的使用和产出效果等多个方面，全面评价项目绩效状况。目的是为今后项目实施方向及管理方式改进提供指导，逐步树立以结果为导向的预算观。针对项目执行过程中存在的问题及不足，提出针对性改进意见，以促进项目单位的项目管理水平，提升政策实施效果和财政资金使用效益，为预算资金安排和完善提供参考。评价范围是共青团东湖区委事务工作经费项目</w:t>
      </w:r>
      <w:r>
        <w:rPr>
          <w:rFonts w:hint="eastAsia" w:ascii="仿宋_GB2312" w:hAnsi="仿宋_GB2312" w:eastAsia="仿宋_GB2312" w:cs="仿宋_GB2312"/>
          <w:sz w:val="32"/>
          <w:szCs w:val="32"/>
          <w:lang w:val="en-US" w:eastAsia="zh-CN" w:bidi="ar-SA"/>
        </w:rPr>
        <w:t>37.65</w:t>
      </w:r>
      <w:r>
        <w:rPr>
          <w:rFonts w:hint="eastAsia" w:ascii="仿宋_GB2312" w:hAnsi="仿宋_GB2312" w:eastAsia="仿宋_GB2312" w:cs="仿宋_GB2312"/>
          <w:sz w:val="32"/>
          <w:szCs w:val="32"/>
          <w:lang w:val="en-US" w:eastAsia="en-US" w:bidi="ar-SA"/>
        </w:rPr>
        <w:t>万元。</w:t>
      </w:r>
    </w:p>
    <w:p>
      <w:pPr>
        <w:pStyle w:val="2"/>
        <w:keepNext w:val="0"/>
        <w:keepLines w:val="0"/>
        <w:pageBreakBefore w:val="0"/>
        <w:widowControl w:val="0"/>
        <w:numPr>
          <w:ilvl w:val="0"/>
          <w:numId w:val="0"/>
        </w:numPr>
        <w:kinsoku/>
        <w:wordWrap/>
        <w:overflowPunct/>
        <w:topLinePunct w:val="0"/>
        <w:bidi w:val="0"/>
        <w:adjustRightInd/>
        <w:snapToGrid/>
        <w:spacing w:before="0" w:line="560" w:lineRule="exact"/>
        <w:ind w:left="0" w:leftChars="0" w:right="0" w:rightChars="0"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（二）绩效评价原则、评价指标体系（附表说明）、评价 方法、评价标准等</w:t>
      </w:r>
    </w:p>
    <w:p>
      <w:pPr>
        <w:keepNext w:val="0"/>
        <w:keepLines w:val="0"/>
        <w:pageBreakBefore w:val="0"/>
        <w:widowControl w:val="0"/>
        <w:kinsoku/>
        <w:overflowPunct/>
        <w:topLinePunct w:val="0"/>
        <w:bidi w:val="0"/>
        <w:adjustRightInd/>
        <w:snapToGrid/>
        <w:spacing w:line="560" w:lineRule="exact"/>
        <w:ind w:lef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w:t>
      </w:r>
      <w:r>
        <w:rPr>
          <w:rFonts w:hint="eastAsia" w:ascii="楷体" w:hAnsi="楷体" w:eastAsia="楷体" w:cs="楷体"/>
          <w:b/>
          <w:bCs/>
          <w:sz w:val="32"/>
          <w:szCs w:val="32"/>
        </w:rPr>
        <w:t>绩效评价原则和依据</w:t>
      </w:r>
    </w:p>
    <w:p>
      <w:pPr>
        <w:pageBreakBefore w:val="0"/>
        <w:kinsoku/>
        <w:wordWrap/>
        <w:overflowPunct/>
        <w:autoSpaceDE/>
        <w:autoSpaceDN/>
        <w:bidi w:val="0"/>
        <w:adjustRightInd/>
        <w:spacing w:line="560" w:lineRule="exact"/>
        <w:ind w:firstLine="640" w:firstLineChars="200"/>
        <w:rPr>
          <w:rFonts w:hint="eastAsia" w:ascii="仿宋_GB2312" w:hAnsi="仿宋_GB2312" w:eastAsia="仿宋_GB2312" w:cs="仿宋_GB2312"/>
          <w:sz w:val="32"/>
          <w:szCs w:val="32"/>
          <w:lang w:val="en-US" w:eastAsia="en-US" w:bidi="ar-SA"/>
        </w:rPr>
      </w:pPr>
      <w:r>
        <w:rPr>
          <w:rFonts w:hint="eastAsia" w:ascii="仿宋_GB2312" w:hAnsi="仿宋_GB2312" w:eastAsia="仿宋_GB2312" w:cs="仿宋_GB2312"/>
          <w:sz w:val="32"/>
          <w:szCs w:val="32"/>
          <w:lang w:val="en-US" w:eastAsia="en-US" w:bidi="ar-SA"/>
        </w:rPr>
        <w:t>202</w:t>
      </w:r>
      <w:r>
        <w:rPr>
          <w:rFonts w:hint="eastAsia" w:ascii="仿宋_GB2312" w:hAnsi="仿宋_GB2312" w:eastAsia="仿宋_GB2312" w:cs="仿宋_GB2312"/>
          <w:sz w:val="32"/>
          <w:szCs w:val="32"/>
          <w:lang w:val="en-US" w:eastAsia="zh-CN" w:bidi="ar-SA"/>
        </w:rPr>
        <w:t>1</w:t>
      </w:r>
      <w:r>
        <w:rPr>
          <w:rFonts w:hint="eastAsia" w:ascii="仿宋_GB2312" w:hAnsi="仿宋_GB2312" w:eastAsia="仿宋_GB2312" w:cs="仿宋_GB2312"/>
          <w:sz w:val="32"/>
          <w:szCs w:val="32"/>
          <w:lang w:val="en-US" w:eastAsia="en-US" w:bidi="ar-SA"/>
        </w:rPr>
        <w:t>年事务工作经费项目支出绩效评价将严格遵守科学规范原则、公正公开原则、分级分类原则以及绩效管理相关原则。</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ascii="宋体" w:hAnsi="宋体" w:eastAsia="宋体"/>
          <w:b/>
          <w:bCs/>
          <w:sz w:val="30"/>
          <w:szCs w:val="30"/>
        </w:rPr>
      </w:pP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评价指标</w:t>
      </w:r>
      <w:r>
        <w:rPr>
          <w:rFonts w:hint="eastAsia" w:ascii="楷体" w:hAnsi="楷体" w:eastAsia="楷体" w:cs="楷体"/>
          <w:b/>
          <w:bCs/>
          <w:sz w:val="32"/>
          <w:szCs w:val="32"/>
          <w:lang w:val="en-US" w:eastAsia="zh-CN"/>
        </w:rPr>
        <w:t>体系</w:t>
      </w:r>
    </w:p>
    <w:p>
      <w:pPr>
        <w:pageBreakBefore w:val="0"/>
        <w:kinsoku/>
        <w:wordWrap/>
        <w:overflowPunct/>
        <w:autoSpaceDE/>
        <w:autoSpaceDN/>
        <w:bidi w:val="0"/>
        <w:adjustRightInd/>
        <w:spacing w:line="560" w:lineRule="exact"/>
        <w:ind w:firstLine="640" w:firstLineChars="200"/>
        <w:rPr>
          <w:rFonts w:hint="eastAsia" w:ascii="仿宋_GB2312" w:hAnsi="仿宋_GB2312" w:eastAsia="仿宋_GB2312" w:cs="仿宋_GB2312"/>
          <w:sz w:val="32"/>
          <w:szCs w:val="32"/>
          <w:lang w:val="en-US" w:eastAsia="en-US" w:bidi="ar-SA"/>
        </w:rPr>
      </w:pPr>
      <w:r>
        <w:rPr>
          <w:rFonts w:hint="eastAsia" w:ascii="仿宋_GB2312" w:hAnsi="仿宋_GB2312" w:eastAsia="仿宋_GB2312" w:cs="仿宋_GB2312"/>
          <w:sz w:val="32"/>
          <w:szCs w:val="32"/>
          <w:lang w:val="en-US" w:eastAsia="en-US" w:bidi="ar-SA"/>
        </w:rPr>
        <w:t>根据财政部《预算绩效评价共性指标体系框架》等文件精神，确定本次绩效评价指标的整体框架，结合项目目标以及项目实施要求、申报要求、专项资金发放效果等内容，确定本次绩效评价指标体系的个性指标，具体详见《项目支出绩效评分表》，指标数据来源于相关法规、政府文件、基础数据采集、问卷调查和访谈等。</w:t>
      </w:r>
    </w:p>
    <w:p>
      <w:pPr>
        <w:pageBreakBefore w:val="0"/>
        <w:kinsoku/>
        <w:wordWrap/>
        <w:overflowPunct/>
        <w:autoSpaceDE/>
        <w:autoSpaceDN/>
        <w:bidi w:val="0"/>
        <w:adjustRightInd/>
        <w:spacing w:line="560" w:lineRule="exact"/>
        <w:ind w:firstLine="640" w:firstLineChars="200"/>
        <w:rPr>
          <w:rFonts w:hint="eastAsia" w:ascii="仿宋_GB2312" w:hAnsi="仿宋_GB2312" w:eastAsia="仿宋_GB2312" w:cs="仿宋_GB2312"/>
          <w:sz w:val="32"/>
          <w:szCs w:val="32"/>
          <w:lang w:val="en-US" w:eastAsia="en-US" w:bidi="ar-SA"/>
        </w:rPr>
      </w:pPr>
      <w:r>
        <w:rPr>
          <w:rFonts w:hint="eastAsia" w:ascii="仿宋_GB2312" w:hAnsi="仿宋_GB2312" w:eastAsia="仿宋_GB2312" w:cs="仿宋_GB2312"/>
          <w:sz w:val="32"/>
          <w:szCs w:val="32"/>
          <w:lang w:val="en-US" w:eastAsia="en-US" w:bidi="ar-SA"/>
        </w:rPr>
        <w:t>评价指标体系表共 100 分。分值≥90 分，评价结果为“优”; 80分≤分值&lt;90 分，评价结果为“良”；60 分≤分值&lt;80 分，评价结果为“中”；分值&lt;60 分，评价结果为“差”。</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评价方法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en-US" w:bidi="ar-SA"/>
        </w:rPr>
      </w:pPr>
      <w:r>
        <w:rPr>
          <w:rFonts w:hint="eastAsia" w:ascii="仿宋_GB2312" w:hAnsi="仿宋_GB2312" w:eastAsia="仿宋_GB2312" w:cs="仿宋_GB2312"/>
          <w:i w:val="0"/>
          <w:w w:val="95"/>
          <w:sz w:val="32"/>
          <w:szCs w:val="32"/>
          <w:lang w:val="en-US" w:eastAsia="en-US" w:bidi="ar-SA"/>
        </w:rPr>
        <w:t>本次绩效评价主要采用数据对比，将产出值与目标值对比，采取</w:t>
      </w:r>
      <w:r>
        <w:rPr>
          <w:rFonts w:hint="eastAsia" w:cs="仿宋_GB2312"/>
          <w:i w:val="0"/>
          <w:w w:val="95"/>
          <w:sz w:val="32"/>
          <w:szCs w:val="32"/>
          <w:lang w:val="en-US" w:eastAsia="zh-CN" w:bidi="ar-SA"/>
        </w:rPr>
        <w:t>电话调查</w:t>
      </w:r>
      <w:r>
        <w:rPr>
          <w:rFonts w:hint="eastAsia" w:ascii="仿宋_GB2312" w:hAnsi="仿宋_GB2312" w:eastAsia="仿宋_GB2312" w:cs="仿宋_GB2312"/>
          <w:i w:val="0"/>
          <w:w w:val="95"/>
          <w:sz w:val="32"/>
          <w:szCs w:val="32"/>
          <w:lang w:val="en-US" w:eastAsia="en-US" w:bidi="ar-SA"/>
        </w:rPr>
        <w:t>、询问查证、数据收集汇总、指标分析等方法，在此基础上，形成评价报告。根据设定的评价指标和计分标准结合具体情况进行</w:t>
      </w:r>
      <w:r>
        <w:rPr>
          <w:rFonts w:hint="eastAsia" w:cs="仿宋_GB2312"/>
          <w:i w:val="0"/>
          <w:w w:val="95"/>
          <w:sz w:val="32"/>
          <w:szCs w:val="32"/>
          <w:lang w:val="en-US" w:eastAsia="zh-CN" w:bidi="ar-SA"/>
        </w:rPr>
        <w:t>评价</w:t>
      </w:r>
      <w:r>
        <w:rPr>
          <w:rFonts w:hint="eastAsia" w:ascii="仿宋_GB2312" w:hAnsi="仿宋_GB2312" w:eastAsia="仿宋_GB2312" w:cs="仿宋_GB2312"/>
          <w:i w:val="0"/>
          <w:w w:val="95"/>
          <w:sz w:val="32"/>
          <w:szCs w:val="32"/>
          <w:lang w:val="en-US" w:eastAsia="en-US" w:bidi="ar-SA"/>
        </w:rPr>
        <w:t>打分，采用百分制进行计分。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lang w:val="en-US" w:eastAsia="zh-CN"/>
        </w:rPr>
      </w:pPr>
      <w:r>
        <w:rPr>
          <w:rFonts w:hint="eastAsia" w:ascii="仿宋_GB2312" w:hAnsi="仿宋_GB2312" w:eastAsia="仿宋_GB2312" w:cs="仿宋_GB2312"/>
          <w:i w:val="0"/>
          <w:w w:val="95"/>
          <w:sz w:val="32"/>
          <w:szCs w:val="32"/>
          <w:lang w:val="en-US" w:eastAsia="en-US" w:bidi="ar-SA"/>
        </w:rPr>
        <w:t>采用定量与定性相结合、项目承担单位自评与主管部门评价相结合的方法。</w:t>
      </w:r>
    </w:p>
    <w:p>
      <w:pPr>
        <w:pStyle w:val="2"/>
        <w:keepNext w:val="0"/>
        <w:keepLines w:val="0"/>
        <w:pageBreakBefore w:val="0"/>
        <w:widowControl w:val="0"/>
        <w:numPr>
          <w:ilvl w:val="0"/>
          <w:numId w:val="1"/>
        </w:numPr>
        <w:kinsoku/>
        <w:wordWrap/>
        <w:overflowPunct/>
        <w:topLinePunct w:val="0"/>
        <w:bidi w:val="0"/>
        <w:adjustRightInd/>
        <w:snapToGrid/>
        <w:spacing w:before="0" w:line="560" w:lineRule="exact"/>
        <w:ind w:left="0" w:leftChars="0" w:right="0" w:firstLine="643" w:firstLineChars="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绩效评价工作过程</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w:t>
      </w:r>
      <w:r>
        <w:rPr>
          <w:rFonts w:hint="eastAsia" w:ascii="楷体" w:hAnsi="楷体" w:eastAsia="楷体" w:cs="楷体"/>
          <w:b/>
          <w:bCs/>
          <w:sz w:val="32"/>
          <w:szCs w:val="32"/>
        </w:rPr>
        <w:t>成立绩效评价项目小组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en-US" w:bidi="ar-SA"/>
        </w:rPr>
      </w:pPr>
      <w:r>
        <w:rPr>
          <w:rFonts w:hint="eastAsia" w:ascii="仿宋_GB2312" w:hAnsi="仿宋_GB2312" w:eastAsia="仿宋_GB2312" w:cs="仿宋_GB2312"/>
          <w:i w:val="0"/>
          <w:w w:val="95"/>
          <w:sz w:val="32"/>
          <w:szCs w:val="32"/>
          <w:lang w:val="en-US" w:eastAsia="en-US" w:bidi="ar-SA"/>
        </w:rPr>
        <w:t>根据《</w:t>
      </w:r>
      <w:r>
        <w:rPr>
          <w:rFonts w:hint="eastAsia" w:ascii="仿宋_GB2312" w:hAnsi="仿宋_GB2312" w:eastAsia="仿宋_GB2312" w:cs="仿宋_GB2312"/>
          <w:i w:val="0"/>
          <w:w w:val="95"/>
          <w:sz w:val="32"/>
          <w:szCs w:val="32"/>
          <w:lang w:val="en-US" w:eastAsia="zh-CN" w:bidi="ar-SA"/>
        </w:rPr>
        <w:t>东湖区</w:t>
      </w:r>
      <w:r>
        <w:rPr>
          <w:rFonts w:hint="eastAsia" w:ascii="仿宋_GB2312" w:hAnsi="仿宋_GB2312" w:eastAsia="仿宋_GB2312" w:cs="仿宋_GB2312"/>
          <w:i w:val="0"/>
          <w:w w:val="95"/>
          <w:sz w:val="32"/>
          <w:szCs w:val="32"/>
          <w:lang w:val="en-US" w:eastAsia="en-US" w:bidi="ar-SA"/>
        </w:rPr>
        <w:t>财政局关于开展20</w:t>
      </w:r>
      <w:r>
        <w:rPr>
          <w:rFonts w:hint="eastAsia" w:ascii="仿宋_GB2312" w:hAnsi="仿宋_GB2312" w:eastAsia="仿宋_GB2312" w:cs="仿宋_GB2312"/>
          <w:i w:val="0"/>
          <w:w w:val="95"/>
          <w:sz w:val="32"/>
          <w:szCs w:val="32"/>
          <w:lang w:val="en-US" w:eastAsia="zh-CN" w:bidi="ar-SA"/>
        </w:rPr>
        <w:t>21</w:t>
      </w:r>
      <w:r>
        <w:rPr>
          <w:rFonts w:hint="eastAsia" w:ascii="仿宋_GB2312" w:hAnsi="仿宋_GB2312" w:eastAsia="仿宋_GB2312" w:cs="仿宋_GB2312"/>
          <w:i w:val="0"/>
          <w:w w:val="95"/>
          <w:sz w:val="32"/>
          <w:szCs w:val="32"/>
          <w:lang w:val="en-US" w:eastAsia="en-US" w:bidi="ar-SA"/>
        </w:rPr>
        <w:t>年度</w:t>
      </w:r>
      <w:r>
        <w:rPr>
          <w:rFonts w:hint="eastAsia" w:ascii="仿宋_GB2312" w:hAnsi="仿宋_GB2312" w:eastAsia="仿宋_GB2312" w:cs="仿宋_GB2312"/>
          <w:i w:val="0"/>
          <w:w w:val="95"/>
          <w:sz w:val="32"/>
          <w:szCs w:val="32"/>
          <w:lang w:val="en-US" w:eastAsia="zh-CN" w:bidi="ar-SA"/>
        </w:rPr>
        <w:t>预算</w:t>
      </w:r>
      <w:r>
        <w:rPr>
          <w:rFonts w:hint="eastAsia" w:ascii="仿宋_GB2312" w:hAnsi="仿宋_GB2312" w:eastAsia="仿宋_GB2312" w:cs="仿宋_GB2312"/>
          <w:i w:val="0"/>
          <w:w w:val="95"/>
          <w:sz w:val="32"/>
          <w:szCs w:val="32"/>
          <w:lang w:val="en-US" w:eastAsia="en-US" w:bidi="ar-SA"/>
        </w:rPr>
        <w:t>绩效</w:t>
      </w:r>
      <w:r>
        <w:rPr>
          <w:rFonts w:hint="eastAsia" w:ascii="仿宋_GB2312" w:hAnsi="仿宋_GB2312" w:eastAsia="仿宋_GB2312" w:cs="仿宋_GB2312"/>
          <w:i w:val="0"/>
          <w:w w:val="95"/>
          <w:sz w:val="32"/>
          <w:szCs w:val="32"/>
          <w:lang w:val="en-US" w:eastAsia="zh-CN" w:bidi="ar-SA"/>
        </w:rPr>
        <w:t>管理有关</w:t>
      </w:r>
      <w:r>
        <w:rPr>
          <w:rFonts w:hint="eastAsia" w:ascii="仿宋_GB2312" w:hAnsi="仿宋_GB2312" w:eastAsia="仿宋_GB2312" w:cs="仿宋_GB2312"/>
          <w:i w:val="0"/>
          <w:w w:val="95"/>
          <w:sz w:val="32"/>
          <w:szCs w:val="32"/>
          <w:lang w:val="en-US" w:eastAsia="en-US" w:bidi="ar-SA"/>
        </w:rPr>
        <w:t>工作的通知》（东财字〔202</w:t>
      </w:r>
      <w:r>
        <w:rPr>
          <w:rFonts w:hint="eastAsia" w:ascii="仿宋_GB2312" w:hAnsi="仿宋_GB2312" w:eastAsia="仿宋_GB2312" w:cs="仿宋_GB2312"/>
          <w:i w:val="0"/>
          <w:w w:val="95"/>
          <w:sz w:val="32"/>
          <w:szCs w:val="32"/>
          <w:lang w:val="en-US" w:eastAsia="zh-CN" w:bidi="ar-SA"/>
        </w:rPr>
        <w:t>1</w:t>
      </w:r>
      <w:r>
        <w:rPr>
          <w:rFonts w:hint="eastAsia" w:ascii="仿宋_GB2312" w:hAnsi="仿宋_GB2312" w:eastAsia="仿宋_GB2312" w:cs="仿宋_GB2312"/>
          <w:i w:val="0"/>
          <w:w w:val="95"/>
          <w:sz w:val="32"/>
          <w:szCs w:val="32"/>
          <w:lang w:val="en-US" w:eastAsia="en-US" w:bidi="ar-SA"/>
        </w:rPr>
        <w:t>〕14号）文件要求，成立了绩效评价项目小组，具体实施项目绩效评价工作。</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2</w:t>
      </w:r>
      <w:r>
        <w:rPr>
          <w:rFonts w:hint="eastAsia" w:ascii="楷体" w:hAnsi="楷体" w:eastAsia="楷体" w:cs="楷体"/>
          <w:b/>
          <w:bCs/>
          <w:sz w:val="32"/>
          <w:szCs w:val="32"/>
          <w:lang w:val="en-US" w:eastAsia="zh-CN"/>
        </w:rPr>
        <w:t>.</w:t>
      </w:r>
      <w:r>
        <w:rPr>
          <w:rFonts w:hint="eastAsia" w:ascii="楷体" w:hAnsi="楷体" w:eastAsia="楷体" w:cs="楷体"/>
          <w:b/>
          <w:bCs/>
          <w:sz w:val="32"/>
          <w:szCs w:val="32"/>
        </w:rPr>
        <w:t>绩效评价实施过程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en-US" w:bidi="ar-SA"/>
        </w:rPr>
      </w:pPr>
      <w:r>
        <w:rPr>
          <w:rFonts w:hint="eastAsia" w:ascii="仿宋_GB2312" w:hAnsi="仿宋_GB2312" w:eastAsia="仿宋_GB2312" w:cs="仿宋_GB2312"/>
          <w:i w:val="0"/>
          <w:w w:val="95"/>
          <w:sz w:val="32"/>
          <w:szCs w:val="32"/>
          <w:lang w:val="en-US" w:eastAsia="en-US" w:bidi="ar-SA"/>
        </w:rPr>
        <w:t>（1）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en-US" w:bidi="ar-SA"/>
        </w:rPr>
      </w:pPr>
      <w:r>
        <w:rPr>
          <w:rFonts w:hint="eastAsia" w:ascii="仿宋_GB2312" w:hAnsi="仿宋_GB2312" w:eastAsia="仿宋_GB2312" w:cs="仿宋_GB2312"/>
          <w:i w:val="0"/>
          <w:w w:val="95"/>
          <w:sz w:val="32"/>
          <w:szCs w:val="32"/>
          <w:lang w:val="en-US" w:eastAsia="en-US" w:bidi="ar-SA"/>
        </w:rPr>
        <w:t>（2）根据制定的项目绩效评价工作方案，收集项目情况实施材料，通过现场评价方法进行绩效评价，包括收集、审核基础资料；开展现场核查，核实各项目是否实施以及项目实施情况是否良好，并进行拍照留痕；对收集的证据运用科学的方法进行综合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en-US" w:bidi="ar-SA"/>
        </w:rPr>
      </w:pPr>
      <w:r>
        <w:rPr>
          <w:rFonts w:hint="eastAsia" w:ascii="仿宋_GB2312" w:hAnsi="仿宋_GB2312" w:eastAsia="仿宋_GB2312" w:cs="仿宋_GB2312"/>
          <w:i w:val="0"/>
          <w:w w:val="95"/>
          <w:sz w:val="32"/>
          <w:szCs w:val="32"/>
          <w:lang w:val="en-US" w:eastAsia="en-US" w:bidi="ar-SA"/>
        </w:rPr>
        <w:t>（3）根据分析后的情况评分，形成综合评价结果，将评价结果纳入已确定的各项指标临界区间进行比较，确定绩效评价等级（优、良、中、差）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lang w:val="en-US" w:eastAsia="zh-CN"/>
        </w:rPr>
      </w:pPr>
      <w:r>
        <w:rPr>
          <w:rFonts w:hint="eastAsia" w:ascii="仿宋_GB2312" w:hAnsi="仿宋_GB2312" w:eastAsia="仿宋_GB2312" w:cs="仿宋_GB2312"/>
          <w:i w:val="0"/>
          <w:w w:val="95"/>
          <w:sz w:val="32"/>
          <w:szCs w:val="32"/>
          <w:lang w:val="en-US" w:eastAsia="en-US" w:bidi="ar-SA"/>
        </w:rPr>
        <w:t xml:space="preserve">（4）对项目评价工作进行总结，将项目的基本情况、绩效评价工作情况、评价分析及评价结果、评价等级、经验及做法、问题及建议等形成书面报告，形成评价结论。 </w:t>
      </w:r>
    </w:p>
    <w:p>
      <w:pPr>
        <w:pStyle w:val="2"/>
        <w:keepNext w:val="0"/>
        <w:keepLines w:val="0"/>
        <w:pageBreakBefore w:val="0"/>
        <w:widowControl w:val="0"/>
        <w:kinsoku/>
        <w:wordWrap/>
        <w:overflowPunct/>
        <w:topLinePunct w:val="0"/>
        <w:bidi w:val="0"/>
        <w:adjustRightInd/>
        <w:snapToGrid/>
        <w:spacing w:before="0" w:line="560" w:lineRule="exact"/>
        <w:ind w:left="0" w:right="0" w:firstLine="664" w:firstLineChars="200"/>
        <w:textAlignment w:val="auto"/>
        <w:rPr>
          <w:rFonts w:hint="eastAsia" w:ascii="黑体" w:eastAsia="黑体"/>
          <w:w w:val="95"/>
        </w:rPr>
      </w:pPr>
      <w:r>
        <w:rPr>
          <w:rFonts w:hint="eastAsia" w:ascii="黑体" w:eastAsia="黑体"/>
          <w:spacing w:val="14"/>
          <w:w w:val="95"/>
        </w:rPr>
        <w:t>三、综合评价情况及评价结论（附相关评分表</w:t>
      </w:r>
      <w:r>
        <w:rPr>
          <w:rFonts w:hint="eastAsia" w:ascii="黑体" w:eastAsia="黑体"/>
          <w:w w:val="95"/>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en-US" w:bidi="ar-SA"/>
        </w:rPr>
      </w:pPr>
      <w:r>
        <w:rPr>
          <w:rFonts w:hint="eastAsia" w:ascii="仿宋_GB2312" w:hAnsi="仿宋_GB2312" w:eastAsia="仿宋_GB2312" w:cs="仿宋_GB2312"/>
          <w:i w:val="0"/>
          <w:w w:val="95"/>
          <w:sz w:val="32"/>
          <w:szCs w:val="32"/>
          <w:lang w:val="en-US" w:eastAsia="en-US" w:bidi="ar-SA"/>
        </w:rPr>
        <w:t>该项目立项符合规范，资金落实得到保障；建立了业务管理制度、财务管理制度，内部控制制度健全且得到了有效的执行，以上制度的运行得到了有效的监督。不断加强专项经费的使用管理，坚持公开、公平、公正和独立核算的原则，提高了资金使用效益；顺利完成了20</w:t>
      </w:r>
      <w:r>
        <w:rPr>
          <w:rFonts w:hint="eastAsia" w:ascii="仿宋_GB2312" w:hAnsi="仿宋_GB2312" w:eastAsia="仿宋_GB2312" w:cs="仿宋_GB2312"/>
          <w:i w:val="0"/>
          <w:w w:val="95"/>
          <w:sz w:val="32"/>
          <w:szCs w:val="32"/>
          <w:lang w:val="en-US" w:eastAsia="zh-CN" w:bidi="ar-SA"/>
        </w:rPr>
        <w:t>2</w:t>
      </w:r>
      <w:r>
        <w:rPr>
          <w:rFonts w:hint="eastAsia" w:cs="仿宋_GB2312"/>
          <w:i w:val="0"/>
          <w:w w:val="95"/>
          <w:sz w:val="32"/>
          <w:szCs w:val="32"/>
          <w:lang w:val="en-US" w:eastAsia="zh-CN" w:bidi="ar-SA"/>
        </w:rPr>
        <w:t>1</w:t>
      </w:r>
      <w:r>
        <w:rPr>
          <w:rFonts w:hint="eastAsia" w:ascii="仿宋_GB2312" w:hAnsi="仿宋_GB2312" w:eastAsia="仿宋_GB2312" w:cs="仿宋_GB2312"/>
          <w:i w:val="0"/>
          <w:w w:val="95"/>
          <w:sz w:val="32"/>
          <w:szCs w:val="32"/>
          <w:lang w:val="en-US" w:eastAsia="en-US" w:bidi="ar-SA"/>
        </w:rPr>
        <w:t>年度贫困青少年儿童助学金活动项目的预算安排、资金使用及后续管理，公众满意度较高。从本次绩效评价工作情况来看，项目资金投入和项目资金使用的进度基本上与计划进度保持同步。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en-US" w:bidi="ar-SA"/>
        </w:rPr>
      </w:pPr>
      <w:r>
        <w:rPr>
          <w:rFonts w:hint="eastAsia" w:ascii="仿宋_GB2312" w:hAnsi="仿宋_GB2312" w:eastAsia="仿宋_GB2312" w:cs="仿宋_GB2312"/>
          <w:i w:val="0"/>
          <w:w w:val="95"/>
          <w:sz w:val="32"/>
          <w:szCs w:val="32"/>
          <w:lang w:val="en-US" w:eastAsia="en-US" w:bidi="ar-SA"/>
        </w:rPr>
        <w:t>围绕绩效评价指标体系，通过数据采集分析等方式，对该项目绩效进行了客观、公开的评价，最终评价结果为</w:t>
      </w:r>
      <w:r>
        <w:rPr>
          <w:rFonts w:hint="eastAsia" w:ascii="仿宋_GB2312" w:hAnsi="仿宋_GB2312" w:eastAsia="仿宋_GB2312" w:cs="仿宋_GB2312"/>
          <w:i w:val="0"/>
          <w:w w:val="95"/>
          <w:sz w:val="32"/>
          <w:szCs w:val="32"/>
          <w:lang w:val="en-US" w:eastAsia="zh-CN" w:bidi="ar-SA"/>
        </w:rPr>
        <w:t>96</w:t>
      </w:r>
      <w:r>
        <w:rPr>
          <w:rFonts w:hint="eastAsia" w:ascii="仿宋_GB2312" w:hAnsi="仿宋_GB2312" w:eastAsia="仿宋_GB2312" w:cs="仿宋_GB2312"/>
          <w:i w:val="0"/>
          <w:w w:val="95"/>
          <w:sz w:val="32"/>
          <w:szCs w:val="32"/>
          <w:lang w:val="en-US" w:eastAsia="en-US" w:bidi="ar-SA"/>
        </w:rPr>
        <w:t>分，评价等级为“优”。</w:t>
      </w:r>
    </w:p>
    <w:p>
      <w:pPr>
        <w:pStyle w:val="2"/>
        <w:rPr>
          <w:rFonts w:hint="eastAsia"/>
          <w:lang w:val="en-US" w:eastAsia="zh-CN"/>
        </w:rPr>
      </w:pPr>
    </w:p>
    <w:tbl>
      <w:tblPr>
        <w:tblStyle w:val="9"/>
        <w:tblW w:w="9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14"/>
        <w:gridCol w:w="1680"/>
        <w:gridCol w:w="1692"/>
        <w:gridCol w:w="1584"/>
        <w:gridCol w:w="178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1514" w:type="dxa"/>
            <w:shd w:val="clear" w:color="auto" w:fill="CCE8CF" w:themeFill="background1"/>
            <w:noWrap w:val="0"/>
            <w:vAlign w:val="center"/>
          </w:tcPr>
          <w:p>
            <w:pPr>
              <w:jc w:val="center"/>
              <w:rPr>
                <w:b/>
                <w:bCs/>
              </w:rPr>
            </w:pPr>
            <w:r>
              <w:rPr>
                <w:rFonts w:hint="eastAsia"/>
                <w:b/>
                <w:bCs/>
              </w:rPr>
              <w:t>项目决策</w:t>
            </w:r>
          </w:p>
          <w:p>
            <w:pPr>
              <w:jc w:val="center"/>
              <w:rPr>
                <w:b/>
                <w:bCs/>
              </w:rPr>
            </w:pPr>
            <w:r>
              <w:rPr>
                <w:rFonts w:hint="eastAsia"/>
                <w:b/>
                <w:bCs/>
              </w:rPr>
              <w:t>（1</w:t>
            </w:r>
            <w:r>
              <w:rPr>
                <w:rFonts w:hint="eastAsia"/>
                <w:b/>
                <w:bCs/>
                <w:lang w:val="en-US" w:eastAsia="zh-CN"/>
              </w:rPr>
              <w:t>5</w:t>
            </w:r>
            <w:r>
              <w:rPr>
                <w:rFonts w:hint="eastAsia"/>
                <w:b/>
                <w:bCs/>
              </w:rPr>
              <w:t>分）</w:t>
            </w:r>
          </w:p>
        </w:tc>
        <w:tc>
          <w:tcPr>
            <w:tcW w:w="1680" w:type="dxa"/>
            <w:shd w:val="clear" w:color="auto" w:fill="CCE8CF" w:themeFill="background1"/>
            <w:noWrap w:val="0"/>
            <w:vAlign w:val="center"/>
          </w:tcPr>
          <w:p>
            <w:pPr>
              <w:jc w:val="center"/>
              <w:rPr>
                <w:b/>
                <w:bCs/>
              </w:rPr>
            </w:pPr>
            <w:r>
              <w:rPr>
                <w:rFonts w:hint="eastAsia"/>
                <w:b/>
                <w:bCs/>
              </w:rPr>
              <w:t>项目过程</w:t>
            </w:r>
          </w:p>
          <w:p>
            <w:pPr>
              <w:jc w:val="center"/>
              <w:rPr>
                <w:b/>
                <w:bCs/>
              </w:rPr>
            </w:pPr>
            <w:r>
              <w:rPr>
                <w:rFonts w:hint="eastAsia"/>
                <w:b/>
                <w:bCs/>
              </w:rPr>
              <w:t>（</w:t>
            </w:r>
            <w:r>
              <w:rPr>
                <w:rFonts w:hint="eastAsia"/>
                <w:b/>
                <w:bCs/>
                <w:lang w:val="en-US" w:eastAsia="zh-CN"/>
              </w:rPr>
              <w:t>15</w:t>
            </w:r>
            <w:r>
              <w:rPr>
                <w:rFonts w:hint="eastAsia"/>
                <w:b/>
                <w:bCs/>
              </w:rPr>
              <w:t>分）</w:t>
            </w:r>
          </w:p>
        </w:tc>
        <w:tc>
          <w:tcPr>
            <w:tcW w:w="1692" w:type="dxa"/>
            <w:shd w:val="clear" w:color="auto" w:fill="CCE8CF" w:themeFill="background1"/>
            <w:noWrap w:val="0"/>
            <w:vAlign w:val="center"/>
          </w:tcPr>
          <w:p>
            <w:pPr>
              <w:jc w:val="center"/>
              <w:rPr>
                <w:b/>
                <w:bCs/>
              </w:rPr>
            </w:pPr>
            <w:r>
              <w:rPr>
                <w:rFonts w:hint="eastAsia"/>
                <w:b/>
                <w:bCs/>
              </w:rPr>
              <w:t>项目产出</w:t>
            </w:r>
          </w:p>
          <w:p>
            <w:pPr>
              <w:jc w:val="center"/>
              <w:rPr>
                <w:b/>
                <w:bCs/>
              </w:rPr>
            </w:pPr>
            <w:r>
              <w:rPr>
                <w:rFonts w:hint="eastAsia"/>
                <w:b/>
                <w:bCs/>
              </w:rPr>
              <w:t>（35分）</w:t>
            </w:r>
          </w:p>
        </w:tc>
        <w:tc>
          <w:tcPr>
            <w:tcW w:w="1584" w:type="dxa"/>
            <w:shd w:val="clear" w:color="auto" w:fill="CCE8CF" w:themeFill="background1"/>
            <w:noWrap w:val="0"/>
            <w:vAlign w:val="center"/>
          </w:tcPr>
          <w:p>
            <w:pPr>
              <w:jc w:val="center"/>
              <w:rPr>
                <w:b/>
                <w:bCs/>
              </w:rPr>
            </w:pPr>
            <w:r>
              <w:rPr>
                <w:rFonts w:hint="eastAsia"/>
                <w:b/>
                <w:bCs/>
              </w:rPr>
              <w:t>项目效果</w:t>
            </w:r>
          </w:p>
          <w:p>
            <w:pPr>
              <w:jc w:val="center"/>
              <w:rPr>
                <w:b/>
                <w:bCs/>
              </w:rPr>
            </w:pPr>
            <w:r>
              <w:rPr>
                <w:rFonts w:hint="eastAsia"/>
                <w:b/>
                <w:bCs/>
              </w:rPr>
              <w:t>（2</w:t>
            </w:r>
            <w:r>
              <w:rPr>
                <w:rFonts w:hint="eastAsia"/>
                <w:b/>
                <w:bCs/>
                <w:lang w:val="en-US" w:eastAsia="zh-CN"/>
              </w:rPr>
              <w:t>5</w:t>
            </w:r>
            <w:r>
              <w:rPr>
                <w:rFonts w:hint="eastAsia"/>
                <w:b/>
                <w:bCs/>
              </w:rPr>
              <w:t>分）</w:t>
            </w:r>
          </w:p>
        </w:tc>
        <w:tc>
          <w:tcPr>
            <w:tcW w:w="1788" w:type="dxa"/>
            <w:shd w:val="clear" w:color="auto" w:fill="CCE8CF" w:themeFill="background1"/>
            <w:noWrap w:val="0"/>
            <w:vAlign w:val="center"/>
          </w:tcPr>
          <w:p>
            <w:pPr>
              <w:jc w:val="center"/>
              <w:rPr>
                <w:b/>
                <w:bCs/>
              </w:rPr>
            </w:pPr>
            <w:r>
              <w:rPr>
                <w:rFonts w:hint="eastAsia"/>
                <w:b/>
                <w:bCs/>
              </w:rPr>
              <w:t>项目满意度</w:t>
            </w:r>
          </w:p>
          <w:p>
            <w:pPr>
              <w:jc w:val="center"/>
              <w:rPr>
                <w:b/>
                <w:bCs/>
              </w:rPr>
            </w:pPr>
            <w:r>
              <w:rPr>
                <w:rFonts w:hint="eastAsia"/>
                <w:b/>
                <w:bCs/>
              </w:rPr>
              <w:t>（</w:t>
            </w:r>
            <w:r>
              <w:rPr>
                <w:rFonts w:hint="eastAsia"/>
                <w:b/>
                <w:bCs/>
                <w:lang w:val="en-US" w:eastAsia="zh-CN"/>
              </w:rPr>
              <w:t>10</w:t>
            </w:r>
            <w:r>
              <w:rPr>
                <w:rFonts w:hint="eastAsia"/>
                <w:b/>
                <w:bCs/>
              </w:rPr>
              <w:t>分）</w:t>
            </w:r>
          </w:p>
        </w:tc>
        <w:tc>
          <w:tcPr>
            <w:tcW w:w="1368" w:type="dxa"/>
            <w:shd w:val="clear" w:color="auto" w:fill="CCE8CF" w:themeFill="background1"/>
            <w:noWrap w:val="0"/>
            <w:vAlign w:val="center"/>
          </w:tcPr>
          <w:p>
            <w:pPr>
              <w:jc w:val="center"/>
              <w:rPr>
                <w:b/>
                <w:bCs/>
              </w:rPr>
            </w:pPr>
            <w:r>
              <w:rPr>
                <w:rFonts w:hint="eastAsia"/>
                <w:b/>
                <w:bCs/>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jc w:val="center"/>
        </w:trPr>
        <w:tc>
          <w:tcPr>
            <w:tcW w:w="1514" w:type="dxa"/>
            <w:noWrap w:val="0"/>
            <w:vAlign w:val="center"/>
          </w:tcPr>
          <w:p>
            <w:pPr>
              <w:pageBreakBefore w:val="0"/>
              <w:kinsoku/>
              <w:wordWrap/>
              <w:overflowPunct/>
              <w:autoSpaceDE/>
              <w:autoSpaceDN/>
              <w:bidi w:val="0"/>
              <w:adjustRightInd/>
              <w:spacing w:line="560" w:lineRule="exact"/>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15</w:t>
            </w:r>
          </w:p>
        </w:tc>
        <w:tc>
          <w:tcPr>
            <w:tcW w:w="1680" w:type="dxa"/>
            <w:noWrap w:val="0"/>
            <w:vAlign w:val="center"/>
          </w:tcPr>
          <w:p>
            <w:pPr>
              <w:pageBreakBefore w:val="0"/>
              <w:kinsoku/>
              <w:wordWrap/>
              <w:overflowPunct/>
              <w:autoSpaceDE/>
              <w:autoSpaceDN/>
              <w:bidi w:val="0"/>
              <w:adjustRightInd/>
              <w:spacing w:line="560" w:lineRule="exact"/>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15</w:t>
            </w:r>
          </w:p>
        </w:tc>
        <w:tc>
          <w:tcPr>
            <w:tcW w:w="1692" w:type="dxa"/>
            <w:noWrap w:val="0"/>
            <w:vAlign w:val="center"/>
          </w:tcPr>
          <w:p>
            <w:pPr>
              <w:pageBreakBefore w:val="0"/>
              <w:kinsoku/>
              <w:wordWrap/>
              <w:overflowPunct/>
              <w:autoSpaceDE/>
              <w:autoSpaceDN/>
              <w:bidi w:val="0"/>
              <w:adjustRightInd/>
              <w:spacing w:line="560" w:lineRule="exact"/>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33</w:t>
            </w:r>
          </w:p>
        </w:tc>
        <w:tc>
          <w:tcPr>
            <w:tcW w:w="1584" w:type="dxa"/>
            <w:noWrap w:val="0"/>
            <w:vAlign w:val="center"/>
          </w:tcPr>
          <w:p>
            <w:pPr>
              <w:pageBreakBefore w:val="0"/>
              <w:kinsoku/>
              <w:wordWrap/>
              <w:overflowPunct/>
              <w:autoSpaceDE/>
              <w:autoSpaceDN/>
              <w:bidi w:val="0"/>
              <w:adjustRightInd/>
              <w:spacing w:line="560" w:lineRule="exact"/>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23</w:t>
            </w:r>
          </w:p>
        </w:tc>
        <w:tc>
          <w:tcPr>
            <w:tcW w:w="1788" w:type="dxa"/>
            <w:noWrap w:val="0"/>
            <w:vAlign w:val="center"/>
          </w:tcPr>
          <w:p>
            <w:pPr>
              <w:pageBreakBefore w:val="0"/>
              <w:kinsoku/>
              <w:wordWrap/>
              <w:overflowPunct/>
              <w:autoSpaceDE/>
              <w:autoSpaceDN/>
              <w:bidi w:val="0"/>
              <w:adjustRightInd/>
              <w:spacing w:line="560" w:lineRule="exact"/>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10</w:t>
            </w:r>
          </w:p>
        </w:tc>
        <w:tc>
          <w:tcPr>
            <w:tcW w:w="1368" w:type="dxa"/>
            <w:noWrap w:val="0"/>
            <w:vAlign w:val="center"/>
          </w:tcPr>
          <w:p>
            <w:pPr>
              <w:pageBreakBefore w:val="0"/>
              <w:kinsoku/>
              <w:wordWrap/>
              <w:overflowPunct/>
              <w:autoSpaceDE/>
              <w:autoSpaceDN/>
              <w:bidi w:val="0"/>
              <w:adjustRightInd/>
              <w:spacing w:line="560" w:lineRule="exact"/>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96</w:t>
            </w:r>
          </w:p>
        </w:tc>
      </w:tr>
    </w:tbl>
    <w:p>
      <w:pPr>
        <w:pStyle w:val="2"/>
        <w:keepNext w:val="0"/>
        <w:keepLines w:val="0"/>
        <w:pageBreakBefore w:val="0"/>
        <w:widowControl w:val="0"/>
        <w:kinsoku/>
        <w:wordWrap/>
        <w:overflowPunct/>
        <w:topLinePunct w:val="0"/>
        <w:bidi w:val="0"/>
        <w:adjustRightInd/>
        <w:snapToGrid/>
        <w:spacing w:before="0" w:line="560" w:lineRule="exact"/>
        <w:ind w:left="0" w:right="0" w:firstLine="640" w:firstLineChars="200"/>
        <w:textAlignment w:val="auto"/>
        <w:rPr>
          <w:rFonts w:hint="eastAsia" w:ascii="黑体" w:eastAsia="黑体"/>
        </w:rPr>
      </w:pPr>
    </w:p>
    <w:p>
      <w:pPr>
        <w:pStyle w:val="2"/>
        <w:keepNext w:val="0"/>
        <w:keepLines w:val="0"/>
        <w:pageBreakBefore w:val="0"/>
        <w:widowControl w:val="0"/>
        <w:kinsoku/>
        <w:wordWrap/>
        <w:overflowPunct/>
        <w:topLinePunct w:val="0"/>
        <w:bidi w:val="0"/>
        <w:adjustRightInd/>
        <w:snapToGrid/>
        <w:spacing w:before="0" w:line="560" w:lineRule="exact"/>
        <w:ind w:right="0"/>
        <w:textAlignment w:val="auto"/>
        <w:rPr>
          <w:rFonts w:hint="eastAsia" w:ascii="黑体" w:eastAsia="黑体"/>
        </w:rPr>
      </w:pPr>
    </w:p>
    <w:p>
      <w:pPr>
        <w:pStyle w:val="2"/>
        <w:keepNext w:val="0"/>
        <w:keepLines w:val="0"/>
        <w:pageBreakBefore w:val="0"/>
        <w:widowControl w:val="0"/>
        <w:kinsoku/>
        <w:wordWrap/>
        <w:overflowPunct/>
        <w:topLinePunct w:val="0"/>
        <w:bidi w:val="0"/>
        <w:adjustRightInd/>
        <w:snapToGrid/>
        <w:spacing w:before="0" w:line="560" w:lineRule="exact"/>
        <w:ind w:left="0" w:right="0" w:firstLine="640" w:firstLineChars="200"/>
        <w:textAlignment w:val="auto"/>
        <w:rPr>
          <w:rFonts w:hint="eastAsia" w:ascii="黑体" w:eastAsia="黑体"/>
        </w:rPr>
      </w:pPr>
      <w:r>
        <w:rPr>
          <w:rFonts w:hint="eastAsia" w:ascii="黑体" w:eastAsia="黑体"/>
        </w:rPr>
        <w:t>四、绩效评价指标分析</w:t>
      </w:r>
    </w:p>
    <w:p>
      <w:pPr>
        <w:keepNext w:val="0"/>
        <w:keepLines w:val="0"/>
        <w:pageBreakBefore w:val="0"/>
        <w:kinsoku/>
        <w:overflowPunct/>
        <w:topLinePunct w:val="0"/>
        <w:bidi w:val="0"/>
        <w:adjustRightInd/>
        <w:snapToGrid/>
        <w:spacing w:line="560" w:lineRule="exact"/>
        <w:ind w:left="0" w:firstLine="643" w:firstLineChars="200"/>
        <w:textAlignment w:val="auto"/>
        <w:outlineLvl w:val="0"/>
        <w:rPr>
          <w:rFonts w:hint="eastAsia" w:ascii="楷体" w:hAnsi="楷体" w:eastAsia="楷体" w:cs="楷体"/>
          <w:b/>
          <w:bCs/>
          <w:kern w:val="2"/>
          <w:sz w:val="32"/>
          <w:szCs w:val="32"/>
          <w:lang w:val="en-US" w:eastAsia="zh-CN" w:bidi="ar-SA"/>
        </w:rPr>
      </w:pPr>
      <w:bookmarkStart w:id="4" w:name="（一）项目决策情况。"/>
      <w:bookmarkEnd w:id="4"/>
      <w:r>
        <w:rPr>
          <w:rFonts w:hint="eastAsia" w:ascii="楷体" w:hAnsi="楷体" w:eastAsia="楷体" w:cs="楷体"/>
          <w:b/>
          <w:bCs/>
          <w:kern w:val="2"/>
          <w:sz w:val="32"/>
          <w:szCs w:val="32"/>
          <w:lang w:val="en-US" w:eastAsia="zh-CN" w:bidi="ar-SA"/>
        </w:rPr>
        <w:t>（一）项目决策情况（15分）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en-US" w:bidi="ar-SA"/>
        </w:rPr>
      </w:pPr>
      <w:r>
        <w:rPr>
          <w:rFonts w:hint="eastAsia" w:ascii="仿宋_GB2312" w:hAnsi="仿宋_GB2312" w:eastAsia="仿宋_GB2312" w:cs="仿宋_GB2312"/>
          <w:i w:val="0"/>
          <w:w w:val="95"/>
          <w:sz w:val="32"/>
          <w:szCs w:val="32"/>
          <w:lang w:val="en-US" w:eastAsia="zh-CN" w:bidi="ar-SA"/>
        </w:rPr>
        <w:t>根据</w:t>
      </w:r>
      <w:r>
        <w:rPr>
          <w:rFonts w:hint="eastAsia" w:ascii="仿宋_GB2312" w:hAnsi="仿宋_GB2312" w:eastAsia="仿宋_GB2312" w:cs="仿宋_GB2312"/>
          <w:i w:val="0"/>
          <w:w w:val="95"/>
          <w:sz w:val="32"/>
          <w:szCs w:val="32"/>
          <w:lang w:val="en-US" w:eastAsia="en-US" w:bidi="ar-SA"/>
        </w:rPr>
        <w:t>《关于进一步做强做大“双百工程”的意见》(洪发[2014] 42号)和区委、区政府《关于进一步做强做大“双百工程”的实施意见》(东发[2014)53号)精神，</w:t>
      </w:r>
      <w:r>
        <w:rPr>
          <w:rFonts w:hint="eastAsia" w:ascii="仿宋_GB2312" w:hAnsi="仿宋_GB2312" w:eastAsia="仿宋_GB2312" w:cs="仿宋_GB2312"/>
          <w:i w:val="0"/>
          <w:w w:val="95"/>
          <w:sz w:val="32"/>
          <w:szCs w:val="32"/>
          <w:lang w:val="en-US" w:eastAsia="zh-CN" w:bidi="ar-SA"/>
        </w:rPr>
        <w:t>为</w:t>
      </w:r>
      <w:r>
        <w:rPr>
          <w:rFonts w:hint="eastAsia" w:ascii="仿宋_GB2312" w:hAnsi="仿宋_GB2312" w:eastAsia="仿宋_GB2312" w:cs="仿宋_GB2312"/>
          <w:i w:val="0"/>
          <w:w w:val="95"/>
          <w:sz w:val="32"/>
          <w:szCs w:val="32"/>
          <w:lang w:val="en-US" w:eastAsia="en-US" w:bidi="ar-SA"/>
        </w:rPr>
        <w:t>扩大贫困青少年儿童的帮扶面，提高发放助学金金额，确保每位在校生不因家庭经济困难而辍学，建立此项目，该项目自2015年开始，由区财政每年拨付贫困助学金，纳入团区委、关工委年初预算。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cs="仿宋_GB2312"/>
          <w:i w:val="0"/>
          <w:w w:val="95"/>
          <w:sz w:val="32"/>
          <w:szCs w:val="32"/>
          <w:lang w:val="en-US" w:eastAsia="zh-CN" w:bidi="ar-SA"/>
        </w:rPr>
      </w:pPr>
      <w:r>
        <w:rPr>
          <w:rFonts w:hint="eastAsia" w:cs="仿宋_GB2312"/>
          <w:i w:val="0"/>
          <w:w w:val="95"/>
          <w:sz w:val="32"/>
          <w:szCs w:val="32"/>
          <w:lang w:val="en-US" w:eastAsia="zh-CN" w:bidi="ar-SA"/>
        </w:rPr>
        <w:t>该项目立项时制定了绩效目标，明确发放人数和发放金额，年中进行1-7月、1-10月绩效监控。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default"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en-US" w:bidi="ar-SA"/>
        </w:rPr>
        <w:t>该项目立项符合规范</w:t>
      </w:r>
      <w:r>
        <w:rPr>
          <w:rFonts w:hint="eastAsia" w:ascii="仿宋_GB2312" w:hAnsi="仿宋_GB2312" w:eastAsia="仿宋_GB2312" w:cs="仿宋_GB2312"/>
          <w:i w:val="0"/>
          <w:w w:val="95"/>
          <w:sz w:val="32"/>
          <w:szCs w:val="32"/>
          <w:lang w:val="en-US" w:eastAsia="zh-CN" w:bidi="ar-SA"/>
        </w:rPr>
        <w:t>，</w:t>
      </w:r>
      <w:r>
        <w:rPr>
          <w:rFonts w:hint="eastAsia" w:cs="仿宋_GB2312"/>
          <w:i w:val="0"/>
          <w:w w:val="95"/>
          <w:sz w:val="32"/>
          <w:szCs w:val="32"/>
          <w:lang w:val="en-US" w:eastAsia="zh-CN" w:bidi="ar-SA"/>
        </w:rPr>
        <w:t>绩效目标编制合理、资金分配合理，</w:t>
      </w:r>
      <w:r>
        <w:rPr>
          <w:rFonts w:hint="eastAsia" w:ascii="仿宋_GB2312" w:hAnsi="仿宋_GB2312" w:eastAsia="仿宋_GB2312" w:cs="仿宋_GB2312"/>
          <w:i w:val="0"/>
          <w:w w:val="95"/>
          <w:sz w:val="32"/>
          <w:szCs w:val="32"/>
          <w:lang w:val="en-US" w:eastAsia="zh-CN" w:bidi="ar-SA"/>
        </w:rPr>
        <w:t>故该指标得1</w:t>
      </w:r>
      <w:r>
        <w:rPr>
          <w:rFonts w:hint="eastAsia" w:cs="仿宋_GB2312"/>
          <w:i w:val="0"/>
          <w:w w:val="95"/>
          <w:sz w:val="32"/>
          <w:szCs w:val="32"/>
          <w:lang w:val="en-US" w:eastAsia="zh-CN" w:bidi="ar-SA"/>
        </w:rPr>
        <w:t>5</w:t>
      </w:r>
      <w:r>
        <w:rPr>
          <w:rFonts w:hint="eastAsia" w:ascii="仿宋_GB2312" w:hAnsi="仿宋_GB2312" w:eastAsia="仿宋_GB2312" w:cs="仿宋_GB2312"/>
          <w:i w:val="0"/>
          <w:w w:val="95"/>
          <w:sz w:val="32"/>
          <w:szCs w:val="32"/>
          <w:lang w:val="en-US" w:eastAsia="zh-CN" w:bidi="ar-SA"/>
        </w:rPr>
        <w:t>分。</w:t>
      </w:r>
    </w:p>
    <w:p>
      <w:pPr>
        <w:keepNext w:val="0"/>
        <w:keepLines w:val="0"/>
        <w:pageBreakBefore w:val="0"/>
        <w:numPr>
          <w:ilvl w:val="0"/>
          <w:numId w:val="2"/>
        </w:numPr>
        <w:kinsoku/>
        <w:overflowPunct/>
        <w:topLinePunct w:val="0"/>
        <w:bidi w:val="0"/>
        <w:adjustRightInd/>
        <w:snapToGrid/>
        <w:spacing w:line="560" w:lineRule="exact"/>
        <w:ind w:left="0" w:firstLine="643" w:firstLineChars="200"/>
        <w:textAlignment w:val="auto"/>
        <w:outlineLvl w:val="0"/>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项目过程情况（15分）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本项目当年预算安排资金20万元，经申请下拨至项目最终用款单位的资金额度20万元，</w:t>
      </w:r>
      <w:r>
        <w:rPr>
          <w:rFonts w:hint="eastAsia" w:cs="仿宋_GB2312"/>
          <w:i w:val="0"/>
          <w:w w:val="95"/>
          <w:sz w:val="32"/>
          <w:szCs w:val="32"/>
          <w:lang w:val="en-US" w:eastAsia="zh-CN" w:bidi="ar-SA"/>
        </w:rPr>
        <w:t>资金到位率100%，</w:t>
      </w:r>
      <w:r>
        <w:rPr>
          <w:rFonts w:hint="eastAsia" w:ascii="仿宋_GB2312" w:hAnsi="仿宋_GB2312" w:eastAsia="仿宋_GB2312" w:cs="仿宋_GB2312"/>
          <w:i w:val="0"/>
          <w:w w:val="95"/>
          <w:sz w:val="32"/>
          <w:szCs w:val="32"/>
          <w:lang w:val="en-US" w:eastAsia="zh-CN" w:bidi="ar-SA"/>
        </w:rPr>
        <w:t>全年使用资金20万元，预算资金执行率达100%，按照年初预算安排合理使用资金。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受助学生材料由各镇、街道、管理处提供，关工委负责审核材料、确定发放名单，团区委负责拨付，建立了业务管理制度、财务管理制度，内部控制制度健全且得到了有效的执行，以上制度的运行得到了有效的监督。故该项指标得</w:t>
      </w:r>
      <w:r>
        <w:rPr>
          <w:rFonts w:hint="eastAsia" w:cs="仿宋_GB2312"/>
          <w:i w:val="0"/>
          <w:w w:val="95"/>
          <w:sz w:val="32"/>
          <w:szCs w:val="32"/>
          <w:lang w:val="en-US" w:eastAsia="zh-CN" w:bidi="ar-SA"/>
        </w:rPr>
        <w:t>15</w:t>
      </w:r>
      <w:r>
        <w:rPr>
          <w:rFonts w:hint="eastAsia" w:ascii="仿宋_GB2312" w:hAnsi="仿宋_GB2312" w:eastAsia="仿宋_GB2312" w:cs="仿宋_GB2312"/>
          <w:i w:val="0"/>
          <w:w w:val="95"/>
          <w:sz w:val="32"/>
          <w:szCs w:val="32"/>
          <w:lang w:val="en-US" w:eastAsia="zh-CN" w:bidi="ar-SA"/>
        </w:rPr>
        <w:t>分。</w:t>
      </w:r>
    </w:p>
    <w:p>
      <w:pPr>
        <w:keepNext w:val="0"/>
        <w:keepLines w:val="0"/>
        <w:pageBreakBefore w:val="0"/>
        <w:numPr>
          <w:ilvl w:val="0"/>
          <w:numId w:val="2"/>
        </w:numPr>
        <w:kinsoku/>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项目产出情况（35分）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1.产出数量指标得分情况</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10</w:t>
      </w:r>
      <w:r>
        <w:rPr>
          <w:rFonts w:hint="eastAsia" w:ascii="楷体" w:hAnsi="楷体" w:eastAsia="楷体" w:cs="楷体"/>
          <w:b/>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（1）基层团组织工作考核完成率（3分）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团区委组织召开了2021年度东湖区共青团工作年终交流会，对全区12个镇（街道、管理处）团（工）委的青年之家建设和日常工作等情况进行评分。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评分标准按照100分制，其中，青年之家建设考评占20分，团（工）委书记述职评议占10分，日常工作占70分，另设加分项。日常工作考核包括：“智慧团建”“青年之家”系统录入情况、网络宣传（含青年大学习）工作开展情况、团（工）委班子配备情况、两新组织团建工作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该项指标得</w:t>
      </w:r>
      <w:r>
        <w:rPr>
          <w:rFonts w:hint="eastAsia" w:cs="仿宋_GB2312"/>
          <w:i w:val="0"/>
          <w:w w:val="95"/>
          <w:sz w:val="32"/>
          <w:szCs w:val="32"/>
          <w:lang w:val="en-US" w:eastAsia="zh-CN" w:bidi="ar-SA"/>
        </w:rPr>
        <w:t>3</w:t>
      </w:r>
      <w:r>
        <w:rPr>
          <w:rFonts w:hint="eastAsia" w:ascii="仿宋_GB2312" w:hAnsi="仿宋_GB2312" w:eastAsia="仿宋_GB2312" w:cs="仿宋_GB2312"/>
          <w:i w:val="0"/>
          <w:w w:val="95"/>
          <w:sz w:val="32"/>
          <w:szCs w:val="32"/>
          <w:lang w:val="en-US" w:eastAsia="zh-CN" w:bidi="ar-SA"/>
        </w:rPr>
        <w:t>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（2）开展庆祝建党100周年主题宣传教育实践活动（3分）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①依托网络新媒体，丰富线上宣传形式。注重彰显共青团特色，做好“自选动作”，在个人自学方面用好“青年大学习”“红领巾爱学习”“东青微课堂”等网络微团课队课品牌，广泛发动全区团员青年参加“青年大学习”网上主题团课，利用“微信公众号”每周一发布党史故事100讲，截止目前已发布第十一讲，浏览人次1000余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②打造东湖青少年党史学习教育基地，拓展线下活动阵地。3月，共青团东湖区委在八一公园湖畔美书阁打造“学党史，强信念，跟党走”东湖区青少年党史学习教育活动基地暨区校共建“青年之家”。定期组织青年宣讲团开展“学党史，强信念，跟党走”党史学习教育，通过宣讲、座谈、交流分享等形式，引导广大团员青年和少先队员传承红色基因。在冬暖阁增设党史图书角，配备有《中国共产党简史》习近平《论中国共产党历史》《习近平与大学生朋友们》等党史书籍两百余册，让青年朋友们徜徉在党史书海，触摸着发展脉搏。在春晖阁陈列“学党史 跟党走”主题绘画、手抄报、书法作品，通过少先队员们的画笔、文字，传递着一份份爱党爱国情怀。开展“学党史、强信念、跟党走”争做东湖区新时代好团、队员党史学习教育活动八期，参与宣讲团干15人，参与学习团员队员180余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③组织专题学习，实现东湖区团、队组织全覆盖。各镇、街道（管理处）团（工）委依托团属阵地“青年之家”，积极组织团员青年开展“学党史、强信念、跟党走”争做东湖区新时代好团员党史学习教育活动。各区属学校大队部依托大队部活动室，利用主题队课，向少先队员们讲解建党百年艰难道路的历史。已覆盖全区110个（村）社区以及部分机关团支部，22所区属学校大队部，参与学习的团员达5614人次，参与学习的少先队员人数3856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④结合离队入团活动，充分发挥仪式教育引领作用。在纪念“五四”运动102周年和庆祝中国共产党成立100周年之际，4月29日下午，团区委在方志敏广场隆重举行“学党史、强信念、跟党走”东湖区集中离队入团仪式，区属各校新老团员共计110余人参加。优秀团员代表分享成长体会，入团积极分子们现场表演了原创诗歌朗诵《锦绣山河梦里藏》，抒发爱党、爱国、爱团之情，通过感悟跟党初心，教育引导团员看齐榜样、学习先进、跟党奋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lang w:val="en-US" w:eastAsia="zh-CN"/>
        </w:rPr>
      </w:pPr>
      <w:r>
        <w:rPr>
          <w:rFonts w:hint="eastAsia" w:ascii="仿宋_GB2312" w:hAnsi="仿宋_GB2312" w:eastAsia="仿宋_GB2312" w:cs="仿宋_GB2312"/>
          <w:i w:val="0"/>
          <w:w w:val="95"/>
          <w:sz w:val="32"/>
          <w:szCs w:val="32"/>
          <w:lang w:val="en-US" w:eastAsia="zh-CN" w:bidi="ar-SA"/>
        </w:rPr>
        <w:t>该项指标得</w:t>
      </w:r>
      <w:r>
        <w:rPr>
          <w:rFonts w:hint="eastAsia" w:cs="仿宋_GB2312"/>
          <w:i w:val="0"/>
          <w:w w:val="95"/>
          <w:sz w:val="32"/>
          <w:szCs w:val="32"/>
          <w:lang w:val="en-US" w:eastAsia="zh-CN" w:bidi="ar-SA"/>
        </w:rPr>
        <w:t>3</w:t>
      </w:r>
      <w:r>
        <w:rPr>
          <w:rFonts w:hint="eastAsia" w:ascii="仿宋_GB2312" w:hAnsi="仿宋_GB2312" w:eastAsia="仿宋_GB2312" w:cs="仿宋_GB2312"/>
          <w:i w:val="0"/>
          <w:w w:val="95"/>
          <w:sz w:val="32"/>
          <w:szCs w:val="32"/>
          <w:lang w:val="en-US" w:eastAsia="zh-CN" w:bidi="ar-SA"/>
        </w:rPr>
        <w:t>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（3）东青品牌项目活动开展数量（4分）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①思想引领青少年“心向党”。通过个人自学、团支部组织学习、网上专题学习和集中宣讲等形式，让党史学习教育“走”进青少年，创新打造湖畔美书阁青年之家“党史图书角”“红色书画展”，把“红色、古色、绿色”志愿服务“搬”进百花洲景区。结合五四、六一、七一等重要时间节点，在团员青年、少先队员中广泛开展“青春心向党 奋斗新征程”评选表彰大会、歌咏大赛，“请党放心 强国有我”“红领巾心向党”主题团队日活动。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②开展青春社区行动，保障青少年合法权益。以光明社区、刘将军庙社区、上营坊社区三个青春社区为引领，组织青年志愿者们开展“走访慰问老兵”“防溺水自救互救”、“低碳生活·绿建未来”“公益圆梦”等各类服务，辐射居民约1.5万人。在“6.26”禁毒日、未成年人保护宣传周、“12.4”宪法日等重要时间节点，组织法治副校长进校园、青年干警进社区开展禁毒、自护、心理健康等宣传教育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③“点亮微心愿”“童心圆梦”东青品牌服务新兴青年群体。精准对接城区脱贫，广泛撬动社会资源，“点亮微心愿”筹款达23万元，发放“名著小书包”694套，为1300余名贫困青少年提供学习上、生活上的物质和精神帮助。持续开展“东青号”至191周，“童心圆梦”公益性社区少年宫至135课。作为青年的“娘家人”，组织多场“牵手东湖”相亲交友、“共青团影院”公益观影、免费公考培训等，搭建青年沟通交流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④东湖红领巾品牌更彰显。对标《中共中央关于全面加强新时代少先队工作的意见》，在全区中小学全面开展分批入队、“红领巾奖章”争章和系列评选表彰。在“六一”“十一三”等少先队重大节庆日开展“请党放心 强国有我”主题队日暨分批入队仪式教育。着力提升校内少先队队室、红领巾广播站、鼓号队建设，打造一批校外社区少工委、红领巾实践基地。举办全区少先队辅导员培训班，指导我区优秀少先队辅导员杜子彦成功申报首批省级少先队“名师工作室”，“少先队辅导员”“红领巾讲解员”在省、市各项活动中展风采。</w:t>
      </w:r>
      <w:r>
        <w:rPr>
          <w:rFonts w:hint="eastAsia" w:cs="仿宋_GB2312"/>
          <w:i w:val="0"/>
          <w:w w:val="95"/>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该项指标得</w:t>
      </w:r>
      <w:r>
        <w:rPr>
          <w:rFonts w:hint="eastAsia" w:cs="仿宋_GB2312"/>
          <w:i w:val="0"/>
          <w:w w:val="95"/>
          <w:sz w:val="32"/>
          <w:szCs w:val="32"/>
          <w:lang w:val="en-US" w:eastAsia="zh-CN" w:bidi="ar-SA"/>
        </w:rPr>
        <w:t>4</w:t>
      </w:r>
      <w:r>
        <w:rPr>
          <w:rFonts w:hint="eastAsia" w:ascii="仿宋_GB2312" w:hAnsi="仿宋_GB2312" w:eastAsia="仿宋_GB2312" w:cs="仿宋_GB2312"/>
          <w:i w:val="0"/>
          <w:w w:val="95"/>
          <w:sz w:val="32"/>
          <w:szCs w:val="32"/>
          <w:lang w:val="en-US" w:eastAsia="zh-CN" w:bidi="ar-SA"/>
        </w:rPr>
        <w:t>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2.产出质量指标得分情况（10分）</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3" w:firstLineChars="200"/>
        <w:jc w:val="both"/>
        <w:textAlignment w:val="auto"/>
        <w:rPr>
          <w:rFonts w:hint="eastAsia" w:ascii="楷体" w:hAnsi="楷体" w:eastAsia="楷体" w:cs="楷体"/>
          <w:b/>
          <w:bCs/>
          <w:sz w:val="32"/>
          <w:szCs w:val="32"/>
          <w:lang w:val="en-US" w:eastAsia="zh-CN" w:bidi="ar-SA"/>
        </w:rPr>
      </w:pPr>
      <w:r>
        <w:rPr>
          <w:rFonts w:hint="eastAsia" w:ascii="楷体" w:hAnsi="楷体" w:eastAsia="楷体" w:cs="楷体"/>
          <w:b/>
          <w:bCs/>
          <w:sz w:val="32"/>
          <w:szCs w:val="32"/>
          <w:lang w:val="en-US" w:eastAsia="zh-CN" w:bidi="ar-SA"/>
        </w:rPr>
        <w:t>（1）基层团组织考核合格率</w:t>
      </w:r>
      <w:r>
        <w:rPr>
          <w:rFonts w:hint="eastAsia" w:ascii="楷体" w:hAnsi="楷体" w:eastAsia="楷体" w:cs="楷体"/>
          <w:b/>
          <w:bCs/>
          <w:sz w:val="32"/>
          <w:szCs w:val="32"/>
          <w:lang w:val="en-US" w:eastAsia="zh-CN"/>
        </w:rPr>
        <w:t>（3分）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根据《关于2021年度东湖区基层共青团组织年终考核结果的通报》，各街道团工委均考核合格，其中最高分为滕王阁街道团工委，综合得分95.86 分，最低分为大院街道团工委，综合得分79.3分，基层团组织考核合格率100%。该项指标得</w:t>
      </w:r>
      <w:r>
        <w:rPr>
          <w:rFonts w:hint="eastAsia" w:cs="仿宋_GB2312"/>
          <w:i w:val="0"/>
          <w:w w:val="95"/>
          <w:sz w:val="32"/>
          <w:szCs w:val="32"/>
          <w:lang w:val="en-US" w:eastAsia="zh-CN" w:bidi="ar-SA"/>
        </w:rPr>
        <w:t>3</w:t>
      </w:r>
      <w:r>
        <w:rPr>
          <w:rFonts w:hint="eastAsia" w:ascii="仿宋_GB2312" w:hAnsi="仿宋_GB2312" w:eastAsia="仿宋_GB2312" w:cs="仿宋_GB2312"/>
          <w:i w:val="0"/>
          <w:w w:val="95"/>
          <w:sz w:val="32"/>
          <w:szCs w:val="32"/>
          <w:lang w:val="en-US" w:eastAsia="zh-CN" w:bidi="ar-SA"/>
        </w:rPr>
        <w:t>分。</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3" w:firstLineChars="200"/>
        <w:jc w:val="both"/>
        <w:textAlignment w:val="auto"/>
        <w:rPr>
          <w:rFonts w:hint="eastAsia" w:ascii="楷体" w:hAnsi="楷体" w:eastAsia="楷体" w:cs="楷体"/>
          <w:b/>
          <w:bCs/>
          <w:sz w:val="32"/>
          <w:szCs w:val="32"/>
          <w:lang w:val="en-US" w:eastAsia="zh-CN" w:bidi="ar-SA"/>
        </w:rPr>
      </w:pPr>
      <w:r>
        <w:rPr>
          <w:rFonts w:hint="eastAsia" w:ascii="楷体" w:hAnsi="楷体" w:eastAsia="楷体" w:cs="楷体"/>
          <w:b/>
          <w:bCs/>
          <w:sz w:val="32"/>
          <w:szCs w:val="32"/>
          <w:lang w:val="en-US" w:eastAsia="zh-CN" w:bidi="ar-SA"/>
        </w:rPr>
        <w:t>（2）庆祝建党100周年主题活动符合度</w:t>
      </w:r>
      <w:r>
        <w:rPr>
          <w:rFonts w:hint="eastAsia" w:ascii="楷体" w:hAnsi="楷体" w:eastAsia="楷体" w:cs="楷体"/>
          <w:b/>
          <w:bCs/>
          <w:sz w:val="32"/>
          <w:szCs w:val="32"/>
          <w:lang w:val="en-US" w:eastAsia="zh-CN"/>
        </w:rPr>
        <w:t>（3分）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团区委通过组织个人自学、团支部组织学习、网上专题学习和集中宣讲等形式，开展了一系列“学党史、强信念、跟党走”主题教育时间活动，让党史学习教育“走”进青少年，创新打造湖畔美书阁青年之家“党史图书角”“红色书画展”，把“红色、古色、绿色”志愿服务“搬”进百花洲景区。结合五四、六一、七一等重要时间节点，在团员青年、少先队员中广泛开展“青春心向党 奋斗新征程”评选表彰大会、歌咏大赛，“请党放心 强国有我”“红领巾心向党”主题团队日活动。活动内容完全贴合活动主题，活动主题符合度100%。该项指标得</w:t>
      </w:r>
      <w:r>
        <w:rPr>
          <w:rFonts w:hint="eastAsia" w:cs="仿宋_GB2312"/>
          <w:i w:val="0"/>
          <w:w w:val="95"/>
          <w:sz w:val="32"/>
          <w:szCs w:val="32"/>
          <w:lang w:val="en-US" w:eastAsia="zh-CN" w:bidi="ar-SA"/>
        </w:rPr>
        <w:t>3</w:t>
      </w:r>
      <w:r>
        <w:rPr>
          <w:rFonts w:hint="eastAsia" w:ascii="仿宋_GB2312" w:hAnsi="仿宋_GB2312" w:eastAsia="仿宋_GB2312" w:cs="仿宋_GB2312"/>
          <w:i w:val="0"/>
          <w:w w:val="95"/>
          <w:sz w:val="32"/>
          <w:szCs w:val="32"/>
          <w:lang w:val="en-US" w:eastAsia="zh-CN" w:bidi="ar-SA"/>
        </w:rPr>
        <w:t>分。</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3" w:firstLineChars="200"/>
        <w:jc w:val="both"/>
        <w:textAlignment w:val="auto"/>
        <w:rPr>
          <w:rFonts w:hint="eastAsia" w:ascii="楷体" w:hAnsi="楷体" w:eastAsia="楷体" w:cs="楷体"/>
          <w:b/>
          <w:bCs/>
          <w:sz w:val="32"/>
          <w:szCs w:val="32"/>
          <w:lang w:val="en-US" w:eastAsia="zh-CN" w:bidi="ar-SA"/>
        </w:rPr>
      </w:pPr>
      <w:r>
        <w:rPr>
          <w:rFonts w:hint="eastAsia" w:ascii="楷体" w:hAnsi="楷体" w:eastAsia="楷体" w:cs="楷体"/>
          <w:b/>
          <w:bCs/>
          <w:sz w:val="32"/>
          <w:szCs w:val="32"/>
          <w:lang w:val="en-US" w:eastAsia="zh-CN" w:bidi="ar-SA"/>
        </w:rPr>
        <w:t>（3）品牌项目活动覆盖率</w:t>
      </w:r>
      <w:r>
        <w:rPr>
          <w:rFonts w:hint="eastAsia" w:ascii="楷体" w:hAnsi="楷体" w:eastAsia="楷体" w:cs="楷体"/>
          <w:b/>
          <w:bCs/>
          <w:sz w:val="32"/>
          <w:szCs w:val="32"/>
          <w:lang w:val="en-US" w:eastAsia="zh-CN"/>
        </w:rPr>
        <w:t>（4分）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根据团区委2021年工作计划，要常态化开展“童心圆梦公益性社区少年宫”“青清行动”“三点半课堂”“点亮微心愿”等个性化品牌项目，使之成为全省叫得响的东湖志愿服务品牌。上述活动覆盖了青少年儿童帮扶、辖区环境卫生质量提升工作和文明创建工作等</w:t>
      </w:r>
      <w:r>
        <w:rPr>
          <w:rFonts w:hint="eastAsia" w:cs="仿宋_GB2312"/>
          <w:i w:val="0"/>
          <w:w w:val="95"/>
          <w:sz w:val="32"/>
          <w:szCs w:val="32"/>
          <w:lang w:val="en-US" w:eastAsia="zh-CN" w:bidi="ar-SA"/>
        </w:rPr>
        <w:t>。但因受疫情影响，八一少年军校夏令营活动未开展，“东青号”移动志愿服务站开放次数减少。</w:t>
      </w:r>
      <w:r>
        <w:rPr>
          <w:rFonts w:hint="eastAsia" w:ascii="仿宋_GB2312" w:hAnsi="仿宋_GB2312" w:eastAsia="仿宋_GB2312" w:cs="仿宋_GB2312"/>
          <w:i w:val="0"/>
          <w:w w:val="95"/>
          <w:sz w:val="32"/>
          <w:szCs w:val="32"/>
          <w:lang w:val="en-US" w:eastAsia="zh-CN" w:bidi="ar-SA"/>
        </w:rPr>
        <w:t>该项指标得</w:t>
      </w:r>
      <w:r>
        <w:rPr>
          <w:rFonts w:hint="eastAsia" w:cs="仿宋_GB2312"/>
          <w:i w:val="0"/>
          <w:w w:val="95"/>
          <w:sz w:val="32"/>
          <w:szCs w:val="32"/>
          <w:lang w:val="en-US" w:eastAsia="zh-CN" w:bidi="ar-SA"/>
        </w:rPr>
        <w:t>2</w:t>
      </w:r>
      <w:r>
        <w:rPr>
          <w:rFonts w:hint="eastAsia" w:ascii="仿宋_GB2312" w:hAnsi="仿宋_GB2312" w:eastAsia="仿宋_GB2312" w:cs="仿宋_GB2312"/>
          <w:i w:val="0"/>
          <w:w w:val="95"/>
          <w:sz w:val="32"/>
          <w:szCs w:val="32"/>
          <w:lang w:val="en-US" w:eastAsia="zh-CN" w:bidi="ar-SA"/>
        </w:rPr>
        <w:t>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3.产出时效指标得分情况（10分）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jc w:val="both"/>
        <w:textAlignment w:val="auto"/>
        <w:rPr>
          <w:rFonts w:hint="eastAsia" w:cs="仿宋_GB2312"/>
          <w:i w:val="0"/>
          <w:w w:val="95"/>
          <w:sz w:val="32"/>
          <w:szCs w:val="32"/>
          <w:lang w:val="en-US" w:eastAsia="zh-CN" w:bidi="ar-SA"/>
        </w:rPr>
      </w:pPr>
      <w:r>
        <w:rPr>
          <w:rFonts w:hint="eastAsia" w:cs="仿宋_GB2312"/>
          <w:i w:val="0"/>
          <w:w w:val="95"/>
          <w:sz w:val="32"/>
          <w:szCs w:val="32"/>
          <w:lang w:val="en-US" w:eastAsia="zh-CN" w:bidi="ar-SA"/>
        </w:rPr>
        <w:t>由于团区委单位工作多为宣传和志愿服务类工作，除部分特殊时间节点宣传活动外，其余工作均无对应时间要求，故时效方面仅针对有时间节点的宣传活动进行考核。特殊时段的宣传活动按时完成率100%。</w:t>
      </w:r>
      <w:r>
        <w:rPr>
          <w:rFonts w:hint="eastAsia" w:ascii="仿宋_GB2312" w:hAnsi="仿宋_GB2312" w:eastAsia="仿宋_GB2312" w:cs="仿宋_GB2312"/>
          <w:i w:val="0"/>
          <w:w w:val="95"/>
          <w:sz w:val="32"/>
          <w:szCs w:val="32"/>
          <w:lang w:val="en-US" w:eastAsia="zh-CN" w:bidi="ar-SA"/>
        </w:rPr>
        <w:t>该指标得10分。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4.产出成本指标得分情况（5分）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jc w:val="both"/>
        <w:textAlignment w:val="auto"/>
        <w:rPr>
          <w:rFonts w:hint="default"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该项目年初预算金额</w:t>
      </w:r>
      <w:r>
        <w:rPr>
          <w:rFonts w:hint="eastAsia" w:cs="仿宋_GB2312"/>
          <w:i w:val="0"/>
          <w:w w:val="95"/>
          <w:sz w:val="32"/>
          <w:szCs w:val="32"/>
          <w:lang w:val="en-US" w:eastAsia="zh-CN" w:bidi="ar-SA"/>
        </w:rPr>
        <w:t>37.65</w:t>
      </w:r>
      <w:r>
        <w:rPr>
          <w:rFonts w:hint="eastAsia" w:ascii="仿宋_GB2312" w:hAnsi="仿宋_GB2312" w:eastAsia="仿宋_GB2312" w:cs="仿宋_GB2312"/>
          <w:i w:val="0"/>
          <w:w w:val="95"/>
          <w:sz w:val="32"/>
          <w:szCs w:val="32"/>
          <w:lang w:val="en-US" w:eastAsia="zh-CN" w:bidi="ar-SA"/>
        </w:rPr>
        <w:t>万元，</w:t>
      </w:r>
      <w:r>
        <w:rPr>
          <w:rFonts w:hint="eastAsia" w:cs="仿宋_GB2312"/>
          <w:i w:val="0"/>
          <w:w w:val="95"/>
          <w:sz w:val="32"/>
          <w:szCs w:val="32"/>
          <w:lang w:val="en-US" w:eastAsia="zh-CN" w:bidi="ar-SA"/>
        </w:rPr>
        <w:t>实际执行金额37.65万元，执行率100%</w:t>
      </w:r>
      <w:r>
        <w:rPr>
          <w:rFonts w:hint="eastAsia" w:ascii="仿宋_GB2312" w:hAnsi="仿宋_GB2312" w:eastAsia="仿宋_GB2312" w:cs="仿宋_GB2312"/>
          <w:i w:val="0"/>
          <w:w w:val="95"/>
          <w:sz w:val="32"/>
          <w:szCs w:val="32"/>
          <w:lang w:val="en-US" w:eastAsia="zh-CN" w:bidi="ar-SA"/>
        </w:rPr>
        <w:t>，该指标得</w:t>
      </w:r>
      <w:r>
        <w:rPr>
          <w:rFonts w:hint="eastAsia" w:cs="仿宋_GB2312"/>
          <w:i w:val="0"/>
          <w:w w:val="95"/>
          <w:sz w:val="32"/>
          <w:szCs w:val="32"/>
          <w:lang w:val="en-US" w:eastAsia="zh-CN" w:bidi="ar-SA"/>
        </w:rPr>
        <w:t>5</w:t>
      </w:r>
      <w:r>
        <w:rPr>
          <w:rFonts w:hint="eastAsia" w:ascii="仿宋_GB2312" w:hAnsi="仿宋_GB2312" w:eastAsia="仿宋_GB2312" w:cs="仿宋_GB2312"/>
          <w:i w:val="0"/>
          <w:w w:val="95"/>
          <w:sz w:val="32"/>
          <w:szCs w:val="32"/>
          <w:lang w:val="en-US" w:eastAsia="zh-CN" w:bidi="ar-SA"/>
        </w:rPr>
        <w:t>分。</w:t>
      </w:r>
    </w:p>
    <w:p>
      <w:pPr>
        <w:keepNext w:val="0"/>
        <w:keepLines w:val="0"/>
        <w:pageBreakBefore w:val="0"/>
        <w:kinsoku/>
        <w:overflowPunct/>
        <w:topLinePunct w:val="0"/>
        <w:bidi w:val="0"/>
        <w:adjustRightInd/>
        <w:snapToGrid/>
        <w:spacing w:line="560" w:lineRule="exact"/>
        <w:ind w:left="0" w:firstLine="643" w:firstLineChars="200"/>
        <w:textAlignment w:val="auto"/>
        <w:outlineLvl w:val="0"/>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（四）项目效益情况（25分）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1.社会效益指标得分情况分析（15分）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（1）传播东湖正能量（5分）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开展“彰显省会担当 创建文明东湖·向不文明行为说不”青年志愿服务活动团区委以“文明”的名义向全区青年志愿者发出号召，开展“彰显省会担当 创建文明东湖·向不文明行为说不”青年志愿服务系列活动。组织百名青年志愿者参与“彰显省会担当 创建文明东湖·向不文明行为说不”千人誓师大会，郑重承诺拒绝不文明行为，争做传播文明、践行文明、创建文明的东湖人。在八一公园、胜利路步行街等东湖区热门景点，组织居民朋友们参与文明知识竞答、捡烟头换鸡蛋、捡一袋垃圾换盐等文明知识“大”比拼活动。东青志愿者手举九大不文明行为指示牌，在八一公园、民德路、街道社区等地，为市民朋友们分发“南昌市文明交通十大公约”传单，普及文明知识，劝导不文明行为。通过发挥青年志愿者的“宣传员、指导员、监督员”作用，辐射带动东湖区居民群众，传递文明新风，共同创造更加文明和谐的美丽东湖。该指标得</w:t>
      </w:r>
      <w:r>
        <w:rPr>
          <w:rFonts w:hint="eastAsia" w:cs="仿宋_GB2312"/>
          <w:i w:val="0"/>
          <w:w w:val="95"/>
          <w:sz w:val="32"/>
          <w:szCs w:val="32"/>
          <w:lang w:val="en-US" w:eastAsia="zh-CN" w:bidi="ar-SA"/>
        </w:rPr>
        <w:t>5</w:t>
      </w:r>
      <w:r>
        <w:rPr>
          <w:rFonts w:hint="eastAsia" w:ascii="仿宋_GB2312" w:hAnsi="仿宋_GB2312" w:eastAsia="仿宋_GB2312" w:cs="仿宋_GB2312"/>
          <w:i w:val="0"/>
          <w:w w:val="95"/>
          <w:sz w:val="32"/>
          <w:szCs w:val="32"/>
          <w:lang w:val="en-US" w:eastAsia="zh-CN" w:bidi="ar-SA"/>
        </w:rPr>
        <w:t>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（2）丰富青少年业余活动（5分）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动员全区各级团组织集中开展学习雷锋青年志愿服务活动，组织团员青年、少先队员参加“弘扬雷锋精神 共建美丽东湖”主题活动，引导大家争做新时代“雷锋精神”的传承者和践行者。在清明节、“河小青”志愿服务周、世界环境日、“12.5国际志愿者日”期间组织全区团队组织开展文明祭扫、河湖保护、低碳环保、“垃圾分类·青春助力”等行动，在“6.26”禁毒日、未成年人保护宣传周、“12.4”宪法日等重要时间节点，组织法治副校长进校园、青年干警进社区开展禁毒、自护、心理健康等宣传教育活动。团结带领广大团员青年志愿者围绕文明创建开展环境整治、交通劝导、文明宣传等活动。该指标得</w:t>
      </w:r>
      <w:r>
        <w:rPr>
          <w:rFonts w:hint="eastAsia" w:cs="仿宋_GB2312"/>
          <w:i w:val="0"/>
          <w:w w:val="95"/>
          <w:sz w:val="32"/>
          <w:szCs w:val="32"/>
          <w:lang w:val="en-US" w:eastAsia="zh-CN" w:bidi="ar-SA"/>
        </w:rPr>
        <w:t>5</w:t>
      </w:r>
      <w:r>
        <w:rPr>
          <w:rFonts w:hint="eastAsia" w:ascii="仿宋_GB2312" w:hAnsi="仿宋_GB2312" w:eastAsia="仿宋_GB2312" w:cs="仿宋_GB2312"/>
          <w:i w:val="0"/>
          <w:w w:val="95"/>
          <w:sz w:val="32"/>
          <w:szCs w:val="32"/>
          <w:lang w:val="en-US" w:eastAsia="zh-CN" w:bidi="ar-SA"/>
        </w:rPr>
        <w:t>分。</w:t>
      </w:r>
    </w:p>
    <w:p>
      <w:pPr>
        <w:pStyle w:val="2"/>
        <w:numPr>
          <w:ilvl w:val="0"/>
          <w:numId w:val="3"/>
        </w:numPr>
        <w:ind w:firstLine="643" w:firstLineChars="200"/>
        <w:rPr>
          <w:rFonts w:hint="eastAsia" w:ascii="楷体" w:hAnsi="楷体" w:eastAsia="楷体" w:cs="楷体"/>
          <w:b/>
          <w:bCs/>
          <w:sz w:val="32"/>
          <w:szCs w:val="32"/>
          <w:lang w:val="en-US" w:eastAsia="zh-CN" w:bidi="ar-SA"/>
        </w:rPr>
      </w:pPr>
      <w:r>
        <w:rPr>
          <w:rFonts w:hint="eastAsia" w:ascii="楷体" w:hAnsi="楷体" w:eastAsia="楷体" w:cs="楷体"/>
          <w:b/>
          <w:bCs/>
          <w:sz w:val="32"/>
          <w:szCs w:val="32"/>
          <w:lang w:val="en-US" w:eastAsia="zh-CN" w:bidi="ar-SA"/>
        </w:rPr>
        <w:t>提升我区基层团组织建设水平（5分）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default"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深化离队入团仪式、推优入党、团内述职评议等制度，做好“智慧团建”系统主题团日活动录入、团支部对标定级、学社衔接等基础性工作。突出政治标准，严把入团关口，做好年度号段内团员发展工作，稳妥处置犯罪团员和不合格团员。全面落实推优入党工作，提高培优质量。在全市率先成立区社会组织团工委并集中建团授牌，推动26家区属青年社会组织、66家非公企业建团。</w:t>
      </w:r>
      <w:r>
        <w:rPr>
          <w:rFonts w:hint="eastAsia" w:eastAsia="仿宋_GB2312" w:cs="仿宋_GB2312"/>
          <w:i w:val="0"/>
          <w:w w:val="95"/>
          <w:sz w:val="32"/>
          <w:szCs w:val="32"/>
          <w:lang w:val="en-US" w:eastAsia="zh-CN" w:bidi="ar-SA"/>
        </w:rPr>
        <w:t>因基层团组织班子配备率未达100%，组织战斗力还有提升空间。</w:t>
      </w:r>
      <w:r>
        <w:rPr>
          <w:rFonts w:hint="eastAsia" w:ascii="仿宋_GB2312" w:hAnsi="仿宋_GB2312" w:eastAsia="仿宋_GB2312" w:cs="仿宋_GB2312"/>
          <w:i w:val="0"/>
          <w:w w:val="95"/>
          <w:sz w:val="32"/>
          <w:szCs w:val="32"/>
          <w:lang w:val="en-US" w:eastAsia="zh-CN" w:bidi="ar-SA"/>
        </w:rPr>
        <w:t>该指标得</w:t>
      </w:r>
      <w:r>
        <w:rPr>
          <w:rFonts w:hint="eastAsia" w:cs="仿宋_GB2312"/>
          <w:i w:val="0"/>
          <w:w w:val="95"/>
          <w:sz w:val="32"/>
          <w:szCs w:val="32"/>
          <w:lang w:val="en-US" w:eastAsia="zh-CN" w:bidi="ar-SA"/>
        </w:rPr>
        <w:t>3</w:t>
      </w:r>
      <w:r>
        <w:rPr>
          <w:rFonts w:hint="eastAsia" w:ascii="仿宋_GB2312" w:hAnsi="仿宋_GB2312" w:eastAsia="仿宋_GB2312" w:cs="仿宋_GB2312"/>
          <w:i w:val="0"/>
          <w:w w:val="95"/>
          <w:sz w:val="32"/>
          <w:szCs w:val="32"/>
          <w:lang w:val="en-US" w:eastAsia="zh-CN" w:bidi="ar-SA"/>
        </w:rPr>
        <w:t>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2.可持续影响指标得分情况分析（10分）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08" w:firstLineChars="200"/>
        <w:textAlignment w:val="auto"/>
        <w:rPr>
          <w:rFonts w:hint="eastAsia" w:ascii="仿宋_GB2312" w:hAnsi="仿宋_GB2312" w:eastAsia="仿宋_GB2312" w:cs="仿宋_GB2312"/>
          <w:i w:val="0"/>
          <w:w w:val="95"/>
          <w:sz w:val="32"/>
          <w:szCs w:val="32"/>
          <w:lang w:val="en-US" w:eastAsia="zh-CN" w:bidi="ar-SA"/>
        </w:rPr>
      </w:pPr>
      <w:r>
        <w:rPr>
          <w:rFonts w:hint="eastAsia" w:cs="仿宋_GB2312"/>
          <w:i w:val="0"/>
          <w:w w:val="95"/>
          <w:sz w:val="32"/>
          <w:szCs w:val="32"/>
          <w:lang w:val="en-US" w:eastAsia="zh-CN" w:bidi="ar-SA"/>
        </w:rPr>
        <w:t>团区委事务工作经费项目已多年连续开展，</w:t>
      </w:r>
      <w:r>
        <w:rPr>
          <w:rFonts w:hint="eastAsia" w:ascii="仿宋_GB2312" w:hAnsi="仿宋_GB2312" w:cs="仿宋_GB2312"/>
          <w:sz w:val="32"/>
          <w:szCs w:val="32"/>
        </w:rPr>
        <w:t>搭建起部门密切配合、社会共同参与的青年工作良好格局，</w:t>
      </w:r>
      <w:r>
        <w:rPr>
          <w:rFonts w:hint="eastAsia" w:ascii="仿宋" w:hAnsi="仿宋" w:eastAsia="仿宋" w:cs="仿宋"/>
          <w:sz w:val="32"/>
          <w:szCs w:val="32"/>
        </w:rPr>
        <w:t>很好的完成了目标值</w:t>
      </w:r>
      <w:r>
        <w:rPr>
          <w:rFonts w:hint="eastAsia" w:ascii="仿宋" w:hAnsi="仿宋" w:eastAsia="仿宋"/>
          <w:sz w:val="32"/>
          <w:szCs w:val="32"/>
        </w:rPr>
        <w:t>，</w:t>
      </w:r>
      <w:r>
        <w:rPr>
          <w:rFonts w:hint="eastAsia" w:ascii="仿宋_GB2312" w:hAnsi="仿宋_GB2312" w:eastAsia="仿宋_GB2312" w:cs="仿宋_GB2312"/>
          <w:i w:val="0"/>
          <w:w w:val="95"/>
          <w:sz w:val="32"/>
          <w:szCs w:val="32"/>
          <w:lang w:val="en-US" w:eastAsia="zh-CN" w:bidi="ar-SA"/>
        </w:rPr>
        <w:t>该项指标得</w:t>
      </w:r>
      <w:r>
        <w:rPr>
          <w:rFonts w:hint="eastAsia" w:cs="仿宋_GB2312"/>
          <w:i w:val="0"/>
          <w:w w:val="95"/>
          <w:sz w:val="32"/>
          <w:szCs w:val="32"/>
          <w:lang w:val="en-US" w:eastAsia="zh-CN" w:bidi="ar-SA"/>
        </w:rPr>
        <w:t>10</w:t>
      </w:r>
      <w:r>
        <w:rPr>
          <w:rFonts w:hint="eastAsia" w:ascii="仿宋_GB2312" w:hAnsi="仿宋_GB2312" w:eastAsia="仿宋_GB2312" w:cs="仿宋_GB2312"/>
          <w:i w:val="0"/>
          <w:w w:val="95"/>
          <w:sz w:val="32"/>
          <w:szCs w:val="32"/>
          <w:lang w:val="en-US" w:eastAsia="zh-CN" w:bidi="ar-SA"/>
        </w:rPr>
        <w:t>分。</w:t>
      </w:r>
    </w:p>
    <w:p>
      <w:pPr>
        <w:keepNext w:val="0"/>
        <w:keepLines w:val="0"/>
        <w:pageBreakBefore w:val="0"/>
        <w:kinsoku/>
        <w:overflowPunct/>
        <w:topLinePunct w:val="0"/>
        <w:bidi w:val="0"/>
        <w:adjustRightInd/>
        <w:snapToGrid/>
        <w:spacing w:line="560" w:lineRule="exact"/>
        <w:ind w:left="0" w:firstLine="643" w:firstLineChars="200"/>
        <w:textAlignment w:val="auto"/>
        <w:outlineLvl w:val="0"/>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（五）满意度情况（10分）</w:t>
      </w:r>
    </w:p>
    <w:p>
      <w:pPr>
        <w:pStyle w:val="2"/>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通过问卷调查统计，社会群众、服务对象对共青团东湖区委事务工作满意度90%以上，依据评分标准，该项指标得</w:t>
      </w:r>
      <w:r>
        <w:rPr>
          <w:rFonts w:hint="eastAsia" w:hAnsi="仿宋" w:cs="仿宋"/>
          <w:kern w:val="2"/>
          <w:sz w:val="32"/>
          <w:szCs w:val="32"/>
          <w:lang w:val="en-US" w:eastAsia="zh-CN" w:bidi="ar-SA"/>
        </w:rPr>
        <w:t>10</w:t>
      </w:r>
      <w:r>
        <w:rPr>
          <w:rFonts w:hint="eastAsia" w:ascii="仿宋_GB2312" w:hAnsi="仿宋" w:eastAsia="仿宋_GB2312" w:cs="仿宋"/>
          <w:kern w:val="2"/>
          <w:sz w:val="32"/>
          <w:szCs w:val="32"/>
          <w:lang w:val="en-US" w:eastAsia="zh-CN" w:bidi="ar-SA"/>
        </w:rPr>
        <w:t>分。</w:t>
      </w:r>
    </w:p>
    <w:p>
      <w:pPr>
        <w:pStyle w:val="2"/>
        <w:keepNext w:val="0"/>
        <w:keepLines w:val="0"/>
        <w:pageBreakBefore w:val="0"/>
        <w:widowControl w:val="0"/>
        <w:numPr>
          <w:ilvl w:val="0"/>
          <w:numId w:val="4"/>
        </w:numPr>
        <w:kinsoku/>
        <w:wordWrap/>
        <w:overflowPunct/>
        <w:topLinePunct w:val="0"/>
        <w:bidi w:val="0"/>
        <w:adjustRightInd/>
        <w:snapToGrid/>
        <w:spacing w:before="0" w:line="560" w:lineRule="exact"/>
        <w:ind w:left="0" w:right="0" w:firstLine="640" w:firstLineChars="200"/>
        <w:textAlignment w:val="auto"/>
        <w:rPr>
          <w:rFonts w:hint="eastAsia" w:ascii="黑体" w:eastAsia="黑体"/>
        </w:rPr>
      </w:pPr>
      <w:r>
        <w:rPr>
          <w:rFonts w:hint="eastAsia" w:ascii="黑体" w:eastAsia="黑体"/>
        </w:rPr>
        <w:t>主要经验及做法、存在的问题及原因分析</w:t>
      </w:r>
    </w:p>
    <w:p>
      <w:pPr>
        <w:keepNext w:val="0"/>
        <w:keepLines w:val="0"/>
        <w:pageBreakBefore w:val="0"/>
        <w:widowControl w:val="0"/>
        <w:kinsoku/>
        <w:wordWrap/>
        <w:overflowPunct/>
        <w:topLinePunct w:val="0"/>
        <w:autoSpaceDE/>
        <w:autoSpaceDN/>
        <w:bidi w:val="0"/>
        <w:adjustRightInd/>
        <w:snapToGrid/>
        <w:spacing w:line="560" w:lineRule="exact"/>
        <w:ind w:left="0" w:firstLine="602" w:firstLineChars="200"/>
        <w:textAlignment w:val="auto"/>
        <w:rPr>
          <w:rFonts w:ascii="宋体" w:hAnsi="宋体" w:eastAsia="宋体"/>
          <w:b/>
          <w:bCs/>
          <w:sz w:val="30"/>
          <w:szCs w:val="30"/>
        </w:rPr>
      </w:pPr>
      <w:r>
        <w:rPr>
          <w:rFonts w:hint="eastAsia" w:ascii="宋体" w:hAnsi="宋体" w:eastAsia="宋体"/>
          <w:b/>
          <w:bCs/>
          <w:sz w:val="30"/>
          <w:szCs w:val="30"/>
        </w:rPr>
        <w:t>（一）项目实施经验、做法</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firstLine="640" w:firstLineChars="200"/>
        <w:textAlignment w:val="auto"/>
        <w:rPr>
          <w:rFonts w:hint="eastAsia"/>
          <w:vertAlign w:val="baseline"/>
          <w:lang w:val="en-US" w:eastAsia="zh-CN"/>
        </w:rPr>
      </w:pPr>
      <w:r>
        <w:rPr>
          <w:rFonts w:hint="eastAsia" w:ascii="仿宋_GB2312" w:hAnsi="仿宋" w:eastAsia="仿宋_GB2312" w:cs="仿宋"/>
          <w:kern w:val="2"/>
          <w:sz w:val="32"/>
          <w:szCs w:val="32"/>
          <w:lang w:val="en-US" w:eastAsia="zh-CN" w:bidi="ar-SA"/>
        </w:rPr>
        <w:t>健全领导机制，健全具体工作实施方案，</w:t>
      </w:r>
      <w:r>
        <w:rPr>
          <w:rFonts w:hint="eastAsia" w:hAnsi="仿宋" w:cs="仿宋"/>
          <w:kern w:val="2"/>
          <w:sz w:val="32"/>
          <w:szCs w:val="32"/>
          <w:lang w:val="en-US" w:eastAsia="zh-CN" w:bidi="ar-SA"/>
        </w:rPr>
        <w:t>根据全年工作要点</w:t>
      </w:r>
      <w:r>
        <w:rPr>
          <w:rFonts w:hint="eastAsia" w:ascii="仿宋_GB2312" w:hAnsi="仿宋" w:eastAsia="仿宋_GB2312" w:cs="仿宋"/>
          <w:kern w:val="2"/>
          <w:sz w:val="32"/>
          <w:szCs w:val="32"/>
          <w:lang w:val="en-US" w:eastAsia="zh-CN" w:bidi="ar-SA"/>
        </w:rPr>
        <w:t>明确目标任务，按时间节点完成项目工作</w:t>
      </w:r>
      <w:r>
        <w:rPr>
          <w:rFonts w:hint="eastAsia" w:hAnsi="仿宋" w:cs="仿宋"/>
          <w:kern w:val="2"/>
          <w:sz w:val="32"/>
          <w:szCs w:val="32"/>
          <w:lang w:val="en-US" w:eastAsia="zh-CN" w:bidi="ar-SA"/>
        </w:rPr>
        <w:t>，</w:t>
      </w:r>
      <w:r>
        <w:rPr>
          <w:rFonts w:hint="eastAsia" w:ascii="仿宋_GB2312" w:hAnsi="仿宋" w:eastAsia="仿宋_GB2312" w:cs="仿宋"/>
          <w:kern w:val="2"/>
          <w:sz w:val="32"/>
          <w:szCs w:val="32"/>
          <w:lang w:val="en-US" w:eastAsia="zh-CN" w:bidi="ar-SA"/>
        </w:rPr>
        <w:t>保证项目经费合理、有效支出。</w:t>
      </w:r>
      <w:r>
        <w:rPr>
          <w:rFonts w:hint="eastAsia" w:ascii="仿宋_GB2312" w:hAnsi="仿宋_GB2312" w:eastAsia="仿宋_GB2312" w:cs="仿宋_GB2312"/>
          <w:sz w:val="32"/>
          <w:szCs w:val="32"/>
          <w:lang w:val="en-US" w:eastAsia="zh-CN"/>
        </w:rPr>
        <w:t>共青团东湖区委在区委、区政府的正确领导下，</w:t>
      </w:r>
      <w:r>
        <w:rPr>
          <w:rFonts w:hint="eastAsia" w:ascii="仿宋_GB2312" w:hAnsi="仿宋_GB2312" w:eastAsia="仿宋_GB2312" w:cs="仿宋_GB2312"/>
          <w:b w:val="0"/>
          <w:bCs w:val="0"/>
          <w:sz w:val="32"/>
          <w:szCs w:val="32"/>
          <w:lang w:val="en-US" w:eastAsia="zh-CN"/>
        </w:rPr>
        <w:t>按照“彰显省会担当”更高要求，</w:t>
      </w:r>
      <w:r>
        <w:rPr>
          <w:rFonts w:hint="eastAsia" w:ascii="仿宋_GB2312" w:hAnsi="仿宋_GB2312" w:eastAsia="仿宋_GB2312" w:cs="仿宋_GB2312"/>
          <w:color w:val="000000"/>
          <w:sz w:val="32"/>
          <w:szCs w:val="32"/>
          <w:lang w:val="zh-CN"/>
        </w:rPr>
        <w:t>以提升团的组织力、引领力、服务力和大局贡献度为重点，团结带领全区广大团员青年牢记初心使命、砥砺前行奋斗、努力创先争优。</w:t>
      </w:r>
      <w:r>
        <w:rPr>
          <w:rFonts w:hint="eastAsia" w:cs="仿宋_GB2312"/>
          <w:color w:val="000000"/>
          <w:sz w:val="32"/>
          <w:szCs w:val="32"/>
          <w:lang w:val="zh-CN"/>
        </w:rPr>
        <w:t>共青团东湖区委被评为</w:t>
      </w:r>
      <w:r>
        <w:rPr>
          <w:rFonts w:hint="eastAsia" w:ascii="仿宋_GB2312" w:hAnsi="仿宋_GB2312" w:eastAsia="仿宋_GB2312" w:cs="仿宋_GB2312"/>
          <w:color w:val="000000"/>
          <w:sz w:val="32"/>
          <w:szCs w:val="32"/>
          <w:lang w:val="zh-CN"/>
        </w:rPr>
        <w:t>全国县域共青团基层组织改革试点（江西省首批）地区</w:t>
      </w:r>
      <w:r>
        <w:rPr>
          <w:rFonts w:hint="eastAsia" w:cs="仿宋_GB2312"/>
          <w:color w:val="000000"/>
          <w:sz w:val="32"/>
          <w:szCs w:val="32"/>
          <w:lang w:val="zh-CN"/>
        </w:rPr>
        <w:t>、</w:t>
      </w:r>
      <w:r>
        <w:rPr>
          <w:rFonts w:hint="eastAsia" w:ascii="仿宋_GB2312" w:hAnsi="仿宋_GB2312" w:eastAsia="仿宋_GB2312" w:cs="仿宋_GB2312"/>
          <w:color w:val="000000"/>
          <w:sz w:val="32"/>
          <w:szCs w:val="32"/>
          <w:lang w:val="zh-CN"/>
        </w:rPr>
        <w:t>2021年度全国“返家乡”社会实践重点开展县（市、区、旗）</w:t>
      </w:r>
      <w:r>
        <w:rPr>
          <w:rFonts w:hint="eastAsia" w:cs="仿宋_GB2312"/>
          <w:color w:val="000000"/>
          <w:sz w:val="32"/>
          <w:szCs w:val="32"/>
          <w:lang w:val="zh-CN"/>
        </w:rPr>
        <w:t>，</w:t>
      </w:r>
      <w:r>
        <w:rPr>
          <w:rFonts w:hint="eastAsia" w:hAnsi="仿宋" w:cs="仿宋"/>
          <w:kern w:val="2"/>
          <w:sz w:val="32"/>
          <w:szCs w:val="32"/>
          <w:lang w:val="en-US" w:eastAsia="zh-CN" w:bidi="ar-SA"/>
        </w:rPr>
        <w:t>荣获</w:t>
      </w:r>
      <w:r>
        <w:rPr>
          <w:rFonts w:hint="eastAsia"/>
          <w:vertAlign w:val="baseline"/>
          <w:lang w:val="en-US" w:eastAsia="zh-CN"/>
        </w:rPr>
        <w:t>2021年度全市共青团工作先进单位、2021年度全市共青团宣传工作先进单位、2021年度贯彻落实《江西省中长期青年发展规划（2018—2025年）》先进单位等多项荣誉。</w:t>
      </w:r>
    </w:p>
    <w:p>
      <w:pPr>
        <w:keepNext w:val="0"/>
        <w:keepLines w:val="0"/>
        <w:pageBreakBefore w:val="0"/>
        <w:widowControl w:val="0"/>
        <w:kinsoku/>
        <w:wordWrap/>
        <w:overflowPunct/>
        <w:topLinePunct w:val="0"/>
        <w:autoSpaceDE/>
        <w:autoSpaceDN/>
        <w:bidi w:val="0"/>
        <w:adjustRightInd/>
        <w:snapToGrid/>
        <w:spacing w:line="560" w:lineRule="exact"/>
        <w:ind w:left="0" w:firstLine="602" w:firstLineChars="200"/>
        <w:textAlignment w:val="auto"/>
        <w:rPr>
          <w:rFonts w:ascii="宋体" w:hAnsi="宋体" w:eastAsia="宋体"/>
          <w:b/>
          <w:bCs/>
          <w:sz w:val="30"/>
          <w:szCs w:val="30"/>
        </w:rPr>
      </w:pPr>
      <w:r>
        <w:rPr>
          <w:rFonts w:hint="eastAsia" w:ascii="宋体" w:hAnsi="宋体" w:eastAsia="宋体"/>
          <w:b/>
          <w:bCs/>
          <w:sz w:val="30"/>
          <w:szCs w:val="30"/>
        </w:rPr>
        <w:t>（二）存在的问题和建议</w:t>
      </w:r>
    </w:p>
    <w:p>
      <w:pPr>
        <w:pageBreakBefore w:val="0"/>
        <w:kinsoku/>
        <w:wordWrap/>
        <w:overflowPunct/>
        <w:autoSpaceDE/>
        <w:autoSpaceDN/>
        <w:bidi w:val="0"/>
        <w:adjustRightInd/>
        <w:spacing w:line="560" w:lineRule="exact"/>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本单位项目绩效指标总体较好，个别绩效指标与年初设定的目标出现偏离，主要原因，由于疫情原因，从而影响了项目实施进度</w:t>
      </w:r>
      <w:r>
        <w:rPr>
          <w:rFonts w:hint="eastAsia" w:hAnsi="宋体" w:cs="仿宋_GB2312"/>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02" w:firstLineChars="200"/>
        <w:textAlignment w:val="auto"/>
        <w:rPr>
          <w:rFonts w:ascii="宋体" w:hAnsi="宋体" w:eastAsia="宋体"/>
          <w:b/>
          <w:bCs/>
          <w:sz w:val="30"/>
          <w:szCs w:val="30"/>
        </w:rPr>
      </w:pPr>
      <w:r>
        <w:rPr>
          <w:rFonts w:hint="eastAsia" w:ascii="宋体" w:hAnsi="宋体" w:eastAsia="宋体"/>
          <w:b/>
          <w:bCs/>
          <w:sz w:val="30"/>
          <w:szCs w:val="30"/>
        </w:rPr>
        <w:t>（三）改进的措施</w:t>
      </w:r>
    </w:p>
    <w:p>
      <w:pPr>
        <w:pStyle w:val="2"/>
        <w:keepNext w:val="0"/>
        <w:keepLines w:val="0"/>
        <w:pageBreakBefore w:val="0"/>
        <w:widowControl w:val="0"/>
        <w:numPr>
          <w:ilvl w:val="0"/>
          <w:numId w:val="0"/>
        </w:numPr>
        <w:kinsoku/>
        <w:wordWrap/>
        <w:overflowPunct/>
        <w:topLinePunct w:val="0"/>
        <w:bidi w:val="0"/>
        <w:adjustRightInd/>
        <w:snapToGrid/>
        <w:spacing w:before="0" w:line="560" w:lineRule="exact"/>
        <w:ind w:right="0" w:rightChars="0" w:firstLine="640" w:firstLineChars="200"/>
        <w:textAlignment w:val="auto"/>
        <w:rPr>
          <w:rFonts w:hint="eastAsia" w:ascii="黑体" w:eastAsia="黑体"/>
        </w:rPr>
      </w:pPr>
      <w:r>
        <w:rPr>
          <w:rFonts w:hint="eastAsia" w:cs="仿宋_GB2312"/>
          <w:b w:val="0"/>
          <w:bCs w:val="0"/>
          <w:kern w:val="0"/>
          <w:sz w:val="32"/>
          <w:szCs w:val="32"/>
          <w:lang w:val="en-US" w:eastAsia="zh-CN" w:bidi="ar-SA"/>
        </w:rPr>
        <w:t>进一步</w:t>
      </w:r>
      <w:r>
        <w:rPr>
          <w:rFonts w:hint="eastAsia" w:ascii="仿宋_GB2312" w:hAnsi="仿宋_GB2312" w:eastAsia="仿宋_GB2312" w:cs="仿宋_GB2312"/>
          <w:b w:val="0"/>
          <w:bCs w:val="0"/>
          <w:kern w:val="0"/>
          <w:sz w:val="32"/>
          <w:szCs w:val="32"/>
          <w:lang w:val="en-US" w:eastAsia="zh-CN" w:bidi="ar-SA"/>
        </w:rPr>
        <w:t>增强</w:t>
      </w:r>
      <w:r>
        <w:rPr>
          <w:rFonts w:hint="default" w:ascii="仿宋_GB2312" w:hAnsi="仿宋_GB2312" w:eastAsia="仿宋_GB2312" w:cs="仿宋_GB2312"/>
          <w:b w:val="0"/>
          <w:bCs w:val="0"/>
          <w:kern w:val="0"/>
          <w:sz w:val="32"/>
          <w:szCs w:val="32"/>
          <w:lang w:val="en-US" w:eastAsia="zh-CN" w:bidi="ar-SA"/>
        </w:rPr>
        <w:t>预算管理意识</w:t>
      </w:r>
      <w:r>
        <w:rPr>
          <w:rFonts w:hint="eastAsia" w:ascii="仿宋_GB2312" w:hAnsi="仿宋_GB2312" w:eastAsia="仿宋_GB2312" w:cs="仿宋_GB2312"/>
          <w:b w:val="0"/>
          <w:bCs w:val="0"/>
          <w:kern w:val="0"/>
          <w:sz w:val="32"/>
          <w:szCs w:val="32"/>
          <w:lang w:val="en-US" w:eastAsia="zh-CN" w:bidi="ar-SA"/>
        </w:rPr>
        <w:t>，</w:t>
      </w:r>
      <w:r>
        <w:rPr>
          <w:rFonts w:hint="default" w:ascii="仿宋_GB2312" w:hAnsi="仿宋_GB2312" w:eastAsia="仿宋_GB2312" w:cs="仿宋_GB2312"/>
          <w:b w:val="0"/>
          <w:bCs w:val="0"/>
          <w:kern w:val="0"/>
          <w:sz w:val="32"/>
          <w:szCs w:val="32"/>
          <w:lang w:val="en-US" w:eastAsia="zh-CN" w:bidi="ar-SA"/>
        </w:rPr>
        <w:t>严格按照预算编制的相关制度和要求</w:t>
      </w:r>
      <w:r>
        <w:rPr>
          <w:rFonts w:hint="eastAsia" w:ascii="仿宋_GB2312" w:hAnsi="仿宋_GB2312" w:eastAsia="仿宋_GB2312" w:cs="仿宋_GB2312"/>
          <w:b w:val="0"/>
          <w:bCs w:val="0"/>
          <w:kern w:val="0"/>
          <w:sz w:val="32"/>
          <w:szCs w:val="32"/>
          <w:lang w:val="en-US" w:eastAsia="zh-CN" w:bidi="ar-SA"/>
        </w:rPr>
        <w:t>，</w:t>
      </w:r>
      <w:r>
        <w:rPr>
          <w:rFonts w:hint="default" w:ascii="仿宋_GB2312" w:hAnsi="仿宋_GB2312" w:eastAsia="仿宋_GB2312" w:cs="仿宋_GB2312"/>
          <w:b w:val="0"/>
          <w:bCs w:val="0"/>
          <w:kern w:val="0"/>
          <w:sz w:val="32"/>
          <w:szCs w:val="32"/>
          <w:lang w:val="en-US" w:eastAsia="zh-CN" w:bidi="ar-SA"/>
        </w:rPr>
        <w:t>提高预算编制的科学性、合理性、严谨性和可控性</w:t>
      </w:r>
      <w:r>
        <w:rPr>
          <w:rFonts w:hint="eastAsia" w:cs="仿宋_GB2312"/>
          <w:b w:val="0"/>
          <w:bCs w:val="0"/>
          <w:kern w:val="0"/>
          <w:sz w:val="32"/>
          <w:szCs w:val="32"/>
          <w:lang w:val="en-US" w:eastAsia="zh-CN" w:bidi="ar-SA"/>
        </w:rPr>
        <w:t>，</w:t>
      </w:r>
      <w:r>
        <w:rPr>
          <w:rFonts w:hint="eastAsia" w:ascii="仿宋_GB2312" w:hAnsi="宋体" w:eastAsia="仿宋_GB2312" w:cs="仿宋_GB2312"/>
          <w:color w:val="000000"/>
          <w:sz w:val="32"/>
          <w:szCs w:val="32"/>
          <w:shd w:val="clear" w:color="auto" w:fill="FFFFFF"/>
        </w:rPr>
        <w:t>在预防疫情的同时，</w:t>
      </w:r>
      <w:r>
        <w:rPr>
          <w:rFonts w:hint="eastAsia" w:hAnsi="宋体" w:cs="仿宋_GB2312"/>
          <w:color w:val="000000"/>
          <w:sz w:val="32"/>
          <w:szCs w:val="32"/>
          <w:shd w:val="clear" w:color="auto" w:fill="FFFFFF"/>
          <w:lang w:eastAsia="zh-CN"/>
        </w:rPr>
        <w:t>及时调整绩效目标</w:t>
      </w:r>
      <w:r>
        <w:rPr>
          <w:rFonts w:hint="eastAsia" w:ascii="仿宋_GB2312" w:hAnsi="宋体" w:eastAsia="仿宋_GB2312" w:cs="仿宋_GB2312"/>
          <w:color w:val="000000"/>
          <w:sz w:val="32"/>
          <w:szCs w:val="32"/>
          <w:shd w:val="clear" w:color="auto" w:fill="FFFFFF"/>
        </w:rPr>
        <w:t>。</w:t>
      </w:r>
    </w:p>
    <w:p>
      <w:pPr>
        <w:pStyle w:val="2"/>
        <w:keepNext w:val="0"/>
        <w:keepLines w:val="0"/>
        <w:pageBreakBefore w:val="0"/>
        <w:widowControl w:val="0"/>
        <w:numPr>
          <w:ilvl w:val="0"/>
          <w:numId w:val="4"/>
        </w:numPr>
        <w:kinsoku/>
        <w:wordWrap/>
        <w:overflowPunct/>
        <w:topLinePunct w:val="0"/>
        <w:bidi w:val="0"/>
        <w:adjustRightInd/>
        <w:snapToGrid/>
        <w:spacing w:before="0" w:line="560" w:lineRule="exact"/>
        <w:ind w:left="0" w:leftChars="0" w:right="0" w:firstLine="640" w:firstLineChars="200"/>
        <w:textAlignment w:val="auto"/>
        <w:rPr>
          <w:rFonts w:hint="eastAsia" w:ascii="黑体" w:eastAsia="黑体"/>
        </w:rPr>
      </w:pPr>
      <w:r>
        <w:rPr>
          <w:rFonts w:hint="eastAsia" w:ascii="黑体" w:eastAsia="黑体"/>
        </w:rPr>
        <w:t>有关建议</w:t>
      </w:r>
    </w:p>
    <w:p>
      <w:pPr>
        <w:keepNext w:val="0"/>
        <w:keepLines w:val="0"/>
        <w:pageBreakBefore w:val="0"/>
        <w:widowControl w:val="0"/>
        <w:kinsoku/>
        <w:wordWrap/>
        <w:overflowPunct/>
        <w:topLinePunct w:val="0"/>
        <w:autoSpaceDE/>
        <w:autoSpaceDN/>
        <w:bidi w:val="0"/>
        <w:adjustRightInd/>
        <w:snapToGrid/>
        <w:spacing w:line="560" w:lineRule="exact"/>
        <w:ind w:left="0" w:firstLine="608" w:firstLineChars="200"/>
        <w:jc w:val="left"/>
        <w:textAlignment w:val="auto"/>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1.加强业务学习。建议进一步加强项目立项、过程实施及验收的各阶段培训，同时加强项目管控，及时掌握项目信息及时发现问题，提高项目管理水平。</w:t>
      </w:r>
    </w:p>
    <w:p>
      <w:pPr>
        <w:pageBreakBefore w:val="0"/>
        <w:kinsoku/>
        <w:wordWrap/>
        <w:overflowPunct/>
        <w:autoSpaceDE/>
        <w:autoSpaceDN/>
        <w:bidi w:val="0"/>
        <w:adjustRightInd/>
        <w:spacing w:line="560" w:lineRule="exact"/>
        <w:ind w:firstLine="608" w:firstLineChars="200"/>
        <w:rPr>
          <w:rFonts w:hint="eastAsia" w:ascii="仿宋_GB2312" w:hAnsi="仿宋_GB2312" w:eastAsia="仿宋_GB2312" w:cs="仿宋_GB2312"/>
          <w:i w:val="0"/>
          <w:w w:val="95"/>
          <w:sz w:val="32"/>
          <w:szCs w:val="32"/>
          <w:lang w:val="en-US" w:eastAsia="zh-CN" w:bidi="ar-SA"/>
        </w:rPr>
      </w:pPr>
      <w:r>
        <w:rPr>
          <w:rFonts w:hint="eastAsia" w:ascii="仿宋_GB2312" w:hAnsi="仿宋_GB2312" w:eastAsia="仿宋_GB2312" w:cs="仿宋_GB2312"/>
          <w:i w:val="0"/>
          <w:w w:val="95"/>
          <w:sz w:val="32"/>
          <w:szCs w:val="32"/>
          <w:lang w:val="en-US" w:eastAsia="zh-CN" w:bidi="ar-SA"/>
        </w:rPr>
        <w:t>2.</w:t>
      </w:r>
      <w:r>
        <w:rPr>
          <w:rFonts w:hint="eastAsia" w:ascii="仿宋_GB2312" w:hAnsi="宋体" w:eastAsia="仿宋_GB2312" w:cs="仿宋_GB2312"/>
          <w:color w:val="000000"/>
          <w:sz w:val="32"/>
          <w:szCs w:val="32"/>
          <w:shd w:val="clear" w:color="auto" w:fill="FFFFFF"/>
        </w:rPr>
        <w:t>创新工作方法</w:t>
      </w:r>
      <w:r>
        <w:rPr>
          <w:rFonts w:hint="eastAsia" w:hAnsi="宋体" w:cs="仿宋_GB2312"/>
          <w:color w:val="000000"/>
          <w:sz w:val="32"/>
          <w:szCs w:val="32"/>
          <w:shd w:val="clear" w:color="auto" w:fill="FFFFFF"/>
          <w:lang w:eastAsia="zh-CN"/>
        </w:rPr>
        <w:t>。</w:t>
      </w:r>
      <w:r>
        <w:rPr>
          <w:rFonts w:hint="eastAsia" w:ascii="仿宋_GB2312" w:hAnsi="宋体" w:eastAsia="仿宋_GB2312" w:cs="仿宋_GB2312"/>
          <w:color w:val="000000"/>
          <w:sz w:val="32"/>
          <w:szCs w:val="32"/>
          <w:shd w:val="clear" w:color="auto" w:fill="FFFFFF"/>
        </w:rPr>
        <w:t>不断增强对</w:t>
      </w:r>
      <w:r>
        <w:rPr>
          <w:rFonts w:hint="eastAsia" w:hAnsi="宋体" w:cs="仿宋_GB2312"/>
          <w:color w:val="000000"/>
          <w:sz w:val="32"/>
          <w:szCs w:val="32"/>
          <w:shd w:val="clear" w:color="auto" w:fill="FFFFFF"/>
          <w:lang w:eastAsia="zh-CN"/>
        </w:rPr>
        <w:t>青少年的</w:t>
      </w:r>
      <w:r>
        <w:rPr>
          <w:rFonts w:hint="eastAsia" w:ascii="仿宋_GB2312" w:hAnsi="宋体" w:eastAsia="仿宋_GB2312" w:cs="仿宋_GB2312"/>
          <w:color w:val="000000"/>
          <w:sz w:val="32"/>
          <w:szCs w:val="32"/>
          <w:shd w:val="clear" w:color="auto" w:fill="FFFFFF"/>
        </w:rPr>
        <w:t>调研工作的针对性和实效性，更加深入基层了解情况，解决基层实际困难。切实增强服务</w:t>
      </w:r>
      <w:r>
        <w:rPr>
          <w:rFonts w:hint="eastAsia" w:hAnsi="宋体" w:cs="仿宋_GB2312"/>
          <w:color w:val="000000"/>
          <w:sz w:val="32"/>
          <w:szCs w:val="32"/>
          <w:shd w:val="clear" w:color="auto" w:fill="FFFFFF"/>
          <w:lang w:eastAsia="zh-CN"/>
        </w:rPr>
        <w:t>青少年的</w:t>
      </w:r>
      <w:r>
        <w:rPr>
          <w:rFonts w:hint="eastAsia" w:ascii="仿宋_GB2312" w:hAnsi="宋体" w:eastAsia="仿宋_GB2312" w:cs="仿宋_GB2312"/>
          <w:color w:val="000000"/>
          <w:sz w:val="32"/>
          <w:szCs w:val="32"/>
          <w:shd w:val="clear" w:color="auto" w:fill="FFFFFF"/>
        </w:rPr>
        <w:t>工作水平。</w:t>
      </w:r>
    </w:p>
    <w:p>
      <w:pPr>
        <w:pStyle w:val="2"/>
        <w:keepNext w:val="0"/>
        <w:keepLines w:val="0"/>
        <w:pageBreakBefore w:val="0"/>
        <w:kinsoku/>
        <w:overflowPunct/>
        <w:topLinePunct w:val="0"/>
        <w:bidi w:val="0"/>
        <w:adjustRightInd/>
        <w:snapToGrid/>
        <w:spacing w:line="560" w:lineRule="exact"/>
        <w:ind w:left="0" w:firstLine="640" w:firstLineChars="200"/>
        <w:textAlignment w:val="auto"/>
        <w:rPr>
          <w:rFonts w:hint="eastAsia" w:ascii="仿宋_GB2312" w:hAnsi="仿宋_GB2312" w:eastAsia="仿宋_GB2312" w:cs="仿宋_GB2312"/>
          <w:i w:val="0"/>
          <w:w w:val="95"/>
          <w:kern w:val="0"/>
          <w:sz w:val="32"/>
          <w:szCs w:val="32"/>
          <w:lang w:val="en-US" w:eastAsia="zh-CN" w:bidi="ar-SA"/>
        </w:rPr>
      </w:pPr>
      <w:r>
        <w:rPr>
          <w:rFonts w:hint="eastAsia" w:ascii="黑体" w:eastAsia="黑体"/>
        </w:rPr>
        <w:t>七、其他需要说明的问题</w:t>
      </w:r>
    </w:p>
    <w:p>
      <w:pPr>
        <w:pStyle w:val="2"/>
        <w:keepNext w:val="0"/>
        <w:keepLines w:val="0"/>
        <w:pageBreakBefore w:val="0"/>
        <w:kinsoku/>
        <w:overflowPunct/>
        <w:topLinePunct w:val="0"/>
        <w:bidi w:val="0"/>
        <w:adjustRightInd/>
        <w:snapToGrid/>
        <w:spacing w:line="560" w:lineRule="exact"/>
        <w:ind w:left="0" w:firstLine="608" w:firstLineChars="200"/>
        <w:textAlignment w:val="auto"/>
        <w:rPr>
          <w:rFonts w:hint="eastAsia" w:ascii="仿宋_GB2312" w:hAnsi="仿宋_GB2312" w:eastAsia="仿宋_GB2312" w:cs="仿宋_GB2312"/>
          <w:i w:val="0"/>
          <w:w w:val="95"/>
          <w:kern w:val="0"/>
          <w:sz w:val="32"/>
          <w:szCs w:val="32"/>
          <w:lang w:val="en-US" w:eastAsia="zh-CN" w:bidi="ar-SA"/>
        </w:rPr>
        <w:sectPr>
          <w:pgSz w:w="11910" w:h="16840"/>
          <w:pgMar w:top="1420" w:right="840" w:bottom="1340" w:left="840" w:header="0" w:footer="1156" w:gutter="0"/>
          <w:pgBorders>
            <w:top w:val="none" w:sz="0" w:space="0"/>
            <w:left w:val="none" w:sz="0" w:space="0"/>
            <w:bottom w:val="none" w:sz="0" w:space="0"/>
            <w:right w:val="none" w:sz="0" w:space="0"/>
          </w:pgBorders>
          <w:pgNumType w:fmt="decimal"/>
          <w:cols w:space="720" w:num="1"/>
        </w:sectPr>
      </w:pPr>
      <w:r>
        <w:rPr>
          <w:rFonts w:hint="eastAsia" w:ascii="仿宋_GB2312" w:hAnsi="仿宋_GB2312" w:eastAsia="仿宋_GB2312" w:cs="仿宋_GB2312"/>
          <w:i w:val="0"/>
          <w:w w:val="95"/>
          <w:kern w:val="0"/>
          <w:sz w:val="32"/>
          <w:szCs w:val="32"/>
          <w:lang w:val="en-US" w:eastAsia="zh-CN" w:bidi="ar-SA"/>
        </w:rPr>
        <w:t>无</w:t>
      </w:r>
    </w:p>
    <w:p>
      <w:pPr>
        <w:pStyle w:val="5"/>
        <w:spacing w:line="614" w:lineRule="exact"/>
        <w:ind w:left="2834" w:right="3095"/>
      </w:pPr>
      <w:bookmarkStart w:id="5" w:name="项目支出绩效评分表"/>
      <w:bookmarkEnd w:id="5"/>
      <w:r>
        <w:t>项目支出绩效评分表</w:t>
      </w:r>
    </w:p>
    <w:p>
      <w:pPr>
        <w:pStyle w:val="2"/>
        <w:spacing w:before="9"/>
        <w:rPr>
          <w:rFonts w:ascii="方正小标宋简体"/>
          <w:sz w:val="15"/>
        </w:rPr>
      </w:pPr>
    </w:p>
    <w:tbl>
      <w:tblPr>
        <w:tblStyle w:val="9"/>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2"/>
        <w:gridCol w:w="84"/>
        <w:gridCol w:w="1134"/>
        <w:gridCol w:w="596"/>
        <w:gridCol w:w="1963"/>
        <w:gridCol w:w="556"/>
        <w:gridCol w:w="2996"/>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72" w:type="dxa"/>
          </w:tcPr>
          <w:p>
            <w:pPr>
              <w:pStyle w:val="13"/>
              <w:spacing w:before="39" w:line="244" w:lineRule="auto"/>
              <w:ind w:left="277" w:right="265"/>
              <w:rPr>
                <w:sz w:val="21"/>
              </w:rPr>
            </w:pPr>
            <w:r>
              <w:rPr>
                <w:sz w:val="21"/>
              </w:rPr>
              <w:t>一级指标</w:t>
            </w:r>
          </w:p>
        </w:tc>
        <w:tc>
          <w:tcPr>
            <w:tcW w:w="1218" w:type="dxa"/>
            <w:gridSpan w:val="2"/>
          </w:tcPr>
          <w:p>
            <w:pPr>
              <w:pStyle w:val="13"/>
              <w:spacing w:before="175"/>
              <w:ind w:left="188"/>
              <w:rPr>
                <w:sz w:val="21"/>
              </w:rPr>
            </w:pPr>
            <w:r>
              <w:rPr>
                <w:sz w:val="21"/>
              </w:rPr>
              <w:t>二级指标</w:t>
            </w:r>
          </w:p>
        </w:tc>
        <w:tc>
          <w:tcPr>
            <w:tcW w:w="596" w:type="dxa"/>
          </w:tcPr>
          <w:p>
            <w:pPr>
              <w:pStyle w:val="13"/>
              <w:spacing w:before="175"/>
              <w:ind w:left="88"/>
              <w:rPr>
                <w:sz w:val="21"/>
              </w:rPr>
            </w:pPr>
            <w:r>
              <w:rPr>
                <w:sz w:val="21"/>
              </w:rPr>
              <w:t>分值</w:t>
            </w:r>
          </w:p>
        </w:tc>
        <w:tc>
          <w:tcPr>
            <w:tcW w:w="1963" w:type="dxa"/>
          </w:tcPr>
          <w:p>
            <w:pPr>
              <w:pStyle w:val="13"/>
              <w:spacing w:before="175"/>
              <w:ind w:left="223" w:right="217"/>
              <w:jc w:val="center"/>
              <w:rPr>
                <w:sz w:val="21"/>
              </w:rPr>
            </w:pPr>
            <w:r>
              <w:rPr>
                <w:sz w:val="21"/>
              </w:rPr>
              <w:t>三级指标</w:t>
            </w:r>
          </w:p>
        </w:tc>
        <w:tc>
          <w:tcPr>
            <w:tcW w:w="556" w:type="dxa"/>
          </w:tcPr>
          <w:p>
            <w:pPr>
              <w:pStyle w:val="13"/>
              <w:spacing w:before="175"/>
              <w:ind w:left="143"/>
              <w:rPr>
                <w:sz w:val="21"/>
              </w:rPr>
            </w:pPr>
            <w:r>
              <w:rPr>
                <w:sz w:val="21"/>
              </w:rPr>
              <w:t>分值</w:t>
            </w:r>
          </w:p>
        </w:tc>
        <w:tc>
          <w:tcPr>
            <w:tcW w:w="2996" w:type="dxa"/>
          </w:tcPr>
          <w:p>
            <w:pPr>
              <w:pStyle w:val="13"/>
              <w:spacing w:before="175"/>
              <w:ind w:left="981" w:right="975"/>
              <w:jc w:val="center"/>
              <w:rPr>
                <w:sz w:val="21"/>
              </w:rPr>
            </w:pPr>
            <w:r>
              <w:rPr>
                <w:sz w:val="21"/>
              </w:rPr>
              <w:t>评分标准</w:t>
            </w:r>
          </w:p>
        </w:tc>
        <w:tc>
          <w:tcPr>
            <w:tcW w:w="675" w:type="dxa"/>
          </w:tcPr>
          <w:p>
            <w:pPr>
              <w:pStyle w:val="13"/>
              <w:spacing w:before="39" w:line="244" w:lineRule="auto"/>
              <w:ind w:left="128" w:right="116"/>
              <w:rPr>
                <w:sz w:val="21"/>
              </w:rPr>
            </w:pPr>
            <w:r>
              <w:rPr>
                <w:sz w:val="21"/>
              </w:rPr>
              <w:t>评价得分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972" w:type="dxa"/>
            <w:vMerge w:val="restart"/>
          </w:tcPr>
          <w:p>
            <w:pPr>
              <w:pStyle w:val="13"/>
              <w:rPr>
                <w:rFonts w:ascii="方正小标宋简体"/>
                <w:sz w:val="20"/>
              </w:rPr>
            </w:pPr>
          </w:p>
          <w:p>
            <w:pPr>
              <w:pStyle w:val="13"/>
              <w:rPr>
                <w:rFonts w:ascii="方正小标宋简体"/>
                <w:sz w:val="20"/>
              </w:rPr>
            </w:pPr>
          </w:p>
          <w:p>
            <w:pPr>
              <w:pStyle w:val="13"/>
              <w:spacing w:before="14"/>
              <w:rPr>
                <w:rFonts w:ascii="方正小标宋简体"/>
                <w:sz w:val="19"/>
              </w:rPr>
            </w:pPr>
          </w:p>
          <w:p>
            <w:pPr>
              <w:pStyle w:val="13"/>
              <w:spacing w:line="262" w:lineRule="exact"/>
              <w:ind w:left="42" w:right="37"/>
              <w:jc w:val="center"/>
              <w:rPr>
                <w:sz w:val="21"/>
              </w:rPr>
            </w:pPr>
            <w:r>
              <w:rPr>
                <w:sz w:val="21"/>
              </w:rPr>
              <w:t>决策</w:t>
            </w:r>
          </w:p>
          <w:p>
            <w:pPr>
              <w:pStyle w:val="13"/>
              <w:spacing w:line="262" w:lineRule="exact"/>
              <w:ind w:left="44" w:right="37"/>
              <w:jc w:val="center"/>
              <w:rPr>
                <w:sz w:val="21"/>
              </w:rPr>
            </w:pPr>
            <w:r>
              <w:rPr>
                <w:sz w:val="21"/>
              </w:rPr>
              <w:t>（15分）</w:t>
            </w:r>
          </w:p>
        </w:tc>
        <w:tc>
          <w:tcPr>
            <w:tcW w:w="1218" w:type="dxa"/>
            <w:gridSpan w:val="2"/>
            <w:vMerge w:val="restart"/>
          </w:tcPr>
          <w:p>
            <w:pPr>
              <w:pStyle w:val="13"/>
              <w:spacing w:before="12"/>
              <w:rPr>
                <w:rFonts w:ascii="方正小标宋简体"/>
                <w:sz w:val="16"/>
              </w:rPr>
            </w:pPr>
          </w:p>
          <w:p>
            <w:pPr>
              <w:pStyle w:val="13"/>
              <w:ind w:left="188"/>
              <w:rPr>
                <w:sz w:val="21"/>
              </w:rPr>
            </w:pPr>
            <w:r>
              <w:rPr>
                <w:sz w:val="21"/>
              </w:rPr>
              <w:t>项目立项</w:t>
            </w:r>
          </w:p>
        </w:tc>
        <w:tc>
          <w:tcPr>
            <w:tcW w:w="596" w:type="dxa"/>
            <w:vMerge w:val="restart"/>
            <w:vAlign w:val="center"/>
          </w:tcPr>
          <w:p>
            <w:pPr>
              <w:pStyle w:val="13"/>
              <w:jc w:val="center"/>
              <w:rPr>
                <w:rFonts w:hint="default" w:ascii="Times New Roman" w:eastAsia="仿宋_GB2312"/>
                <w:sz w:val="20"/>
                <w:lang w:val="en-US" w:eastAsia="zh-CN"/>
              </w:rPr>
            </w:pPr>
            <w:r>
              <w:rPr>
                <w:rFonts w:hint="eastAsia" w:ascii="Times New Roman"/>
                <w:sz w:val="20"/>
                <w:lang w:val="en-US" w:eastAsia="zh-CN"/>
              </w:rPr>
              <w:t>5</w:t>
            </w:r>
          </w:p>
        </w:tc>
        <w:tc>
          <w:tcPr>
            <w:tcW w:w="1963" w:type="dxa"/>
            <w:vAlign w:val="center"/>
          </w:tcPr>
          <w:p>
            <w:pPr>
              <w:pStyle w:val="13"/>
              <w:spacing w:before="89"/>
              <w:ind w:left="225" w:right="217"/>
              <w:jc w:val="center"/>
              <w:rPr>
                <w:sz w:val="21"/>
              </w:rPr>
            </w:pPr>
            <w:r>
              <w:rPr>
                <w:sz w:val="21"/>
              </w:rPr>
              <w:t>立项依据充分性</w:t>
            </w:r>
          </w:p>
        </w:tc>
        <w:tc>
          <w:tcPr>
            <w:tcW w:w="556" w:type="dxa"/>
            <w:vAlign w:val="center"/>
          </w:tcPr>
          <w:p>
            <w:pPr>
              <w:pStyle w:val="13"/>
              <w:ind w:left="0" w:leftChars="0" w:right="0" w:rightChars="0"/>
              <w:jc w:val="center"/>
              <w:rPr>
                <w:rFonts w:hint="default" w:ascii="Times New Roman" w:hAnsi="仿宋_GB2312" w:eastAsia="仿宋_GB2312" w:cs="仿宋_GB2312"/>
                <w:sz w:val="20"/>
                <w:szCs w:val="22"/>
                <w:lang w:val="en-US" w:eastAsia="en-US" w:bidi="ar-SA"/>
              </w:rPr>
            </w:pPr>
            <w:r>
              <w:rPr>
                <w:rFonts w:hint="eastAsia" w:ascii="Times New Roman"/>
                <w:sz w:val="20"/>
                <w:lang w:val="en-US" w:eastAsia="zh-CN"/>
              </w:rPr>
              <w:t>2.5</w:t>
            </w:r>
          </w:p>
        </w:tc>
        <w:tc>
          <w:tcPr>
            <w:tcW w:w="2996" w:type="dxa"/>
            <w:vAlign w:val="center"/>
          </w:tcPr>
          <w:p>
            <w:pPr>
              <w:widowControl/>
              <w:spacing w:line="240" w:lineRule="exact"/>
              <w:ind w:left="0" w:leftChars="0" w:right="0" w:rightChars="0"/>
              <w:jc w:val="left"/>
              <w:rPr>
                <w:rFonts w:ascii="宋体" w:hAnsi="宋体" w:eastAsia="仿宋_GB2312" w:cs="宋体"/>
                <w:color w:val="000000"/>
                <w:kern w:val="0"/>
                <w:sz w:val="18"/>
                <w:szCs w:val="18"/>
                <w:lang w:val="en-US" w:eastAsia="en-US" w:bidi="ar-SA"/>
              </w:rPr>
            </w:pPr>
            <w:r>
              <w:rPr>
                <w:rFonts w:hint="eastAsia" w:ascii="宋体" w:hAnsi="宋体" w:cs="宋体"/>
                <w:color w:val="000000"/>
                <w:kern w:val="0"/>
                <w:sz w:val="18"/>
                <w:szCs w:val="18"/>
              </w:rPr>
              <w:t>项目立项符合法律法规、相关政策、发展规划以及部门职责，用以反映和考核项目立项依据情况。</w:t>
            </w:r>
          </w:p>
        </w:tc>
        <w:tc>
          <w:tcPr>
            <w:tcW w:w="675" w:type="dxa"/>
            <w:vAlign w:val="center"/>
          </w:tcPr>
          <w:p>
            <w:pPr>
              <w:pStyle w:val="13"/>
              <w:ind w:left="0" w:leftChars="0" w:right="0" w:rightChars="0"/>
              <w:jc w:val="center"/>
              <w:rPr>
                <w:rFonts w:hint="default" w:ascii="Times New Roman" w:hAnsi="仿宋_GB2312" w:eastAsia="仿宋_GB2312" w:cs="仿宋_GB2312"/>
                <w:sz w:val="20"/>
                <w:szCs w:val="22"/>
                <w:lang w:val="en-US" w:eastAsia="en-US" w:bidi="ar-SA"/>
              </w:rPr>
            </w:pPr>
            <w:r>
              <w:rPr>
                <w:rFonts w:hint="eastAsia" w:ascii="Times New Roman"/>
                <w:sz w:val="20"/>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972" w:type="dxa"/>
            <w:vMerge w:val="continue"/>
            <w:tcBorders>
              <w:top w:val="nil"/>
            </w:tcBorders>
          </w:tcPr>
          <w:p>
            <w:pPr>
              <w:rPr>
                <w:sz w:val="2"/>
                <w:szCs w:val="2"/>
              </w:rPr>
            </w:pPr>
          </w:p>
        </w:tc>
        <w:tc>
          <w:tcPr>
            <w:tcW w:w="1218" w:type="dxa"/>
            <w:gridSpan w:val="2"/>
            <w:vMerge w:val="continue"/>
            <w:tcBorders>
              <w:top w:val="nil"/>
            </w:tcBorders>
          </w:tcPr>
          <w:p>
            <w:pPr>
              <w:rPr>
                <w:sz w:val="2"/>
                <w:szCs w:val="2"/>
              </w:rPr>
            </w:pPr>
          </w:p>
        </w:tc>
        <w:tc>
          <w:tcPr>
            <w:tcW w:w="596" w:type="dxa"/>
            <w:vMerge w:val="continue"/>
            <w:tcBorders>
              <w:top w:val="nil"/>
            </w:tcBorders>
            <w:vAlign w:val="center"/>
          </w:tcPr>
          <w:p>
            <w:pPr>
              <w:jc w:val="center"/>
              <w:rPr>
                <w:sz w:val="2"/>
                <w:szCs w:val="2"/>
              </w:rPr>
            </w:pPr>
          </w:p>
        </w:tc>
        <w:tc>
          <w:tcPr>
            <w:tcW w:w="1963" w:type="dxa"/>
            <w:vAlign w:val="center"/>
          </w:tcPr>
          <w:p>
            <w:pPr>
              <w:pStyle w:val="13"/>
              <w:spacing w:before="66"/>
              <w:ind w:left="225" w:right="217"/>
              <w:jc w:val="center"/>
              <w:rPr>
                <w:sz w:val="21"/>
              </w:rPr>
            </w:pPr>
            <w:r>
              <w:rPr>
                <w:sz w:val="21"/>
              </w:rPr>
              <w:t>立项程序规范性</w:t>
            </w:r>
          </w:p>
        </w:tc>
        <w:tc>
          <w:tcPr>
            <w:tcW w:w="556" w:type="dxa"/>
            <w:vAlign w:val="center"/>
          </w:tcPr>
          <w:p>
            <w:pPr>
              <w:pStyle w:val="13"/>
              <w:ind w:left="0" w:leftChars="0" w:right="0" w:rightChars="0"/>
              <w:jc w:val="center"/>
              <w:rPr>
                <w:rFonts w:hint="default" w:ascii="Times New Roman" w:hAnsi="仿宋_GB2312" w:eastAsia="仿宋_GB2312" w:cs="仿宋_GB2312"/>
                <w:sz w:val="20"/>
                <w:szCs w:val="22"/>
                <w:lang w:val="en-US" w:eastAsia="en-US" w:bidi="ar-SA"/>
              </w:rPr>
            </w:pPr>
            <w:r>
              <w:rPr>
                <w:rFonts w:hint="eastAsia" w:ascii="Times New Roman"/>
                <w:sz w:val="20"/>
                <w:lang w:val="en-US" w:eastAsia="zh-CN"/>
              </w:rPr>
              <w:t>2.5</w:t>
            </w:r>
          </w:p>
        </w:tc>
        <w:tc>
          <w:tcPr>
            <w:tcW w:w="2996" w:type="dxa"/>
            <w:vAlign w:val="center"/>
          </w:tcPr>
          <w:p>
            <w:pPr>
              <w:widowControl/>
              <w:spacing w:line="240" w:lineRule="exact"/>
              <w:ind w:left="0" w:leftChars="0" w:right="0" w:rightChars="0"/>
              <w:jc w:val="left"/>
              <w:rPr>
                <w:rFonts w:hint="eastAsia" w:ascii="宋体" w:hAnsi="宋体" w:cs="宋体"/>
                <w:color w:val="000000"/>
                <w:kern w:val="0"/>
                <w:sz w:val="18"/>
                <w:szCs w:val="18"/>
                <w:lang w:val="en-US" w:eastAsia="en-US"/>
              </w:rPr>
            </w:pPr>
            <w:r>
              <w:rPr>
                <w:rFonts w:hint="eastAsia" w:ascii="宋体" w:hAnsi="宋体" w:cs="宋体"/>
                <w:color w:val="000000"/>
                <w:kern w:val="0"/>
                <w:sz w:val="18"/>
                <w:szCs w:val="18"/>
              </w:rPr>
              <w:t>项目申请、设立过程符合相关要求，用以反映和考核项目立项的规范情况。</w:t>
            </w:r>
          </w:p>
        </w:tc>
        <w:tc>
          <w:tcPr>
            <w:tcW w:w="675" w:type="dxa"/>
            <w:vAlign w:val="center"/>
          </w:tcPr>
          <w:p>
            <w:pPr>
              <w:pStyle w:val="13"/>
              <w:ind w:left="0" w:leftChars="0" w:right="0" w:rightChars="0"/>
              <w:jc w:val="center"/>
              <w:rPr>
                <w:rFonts w:hint="default" w:ascii="Times New Roman" w:hAnsi="仿宋_GB2312" w:eastAsia="仿宋_GB2312" w:cs="仿宋_GB2312"/>
                <w:sz w:val="20"/>
                <w:szCs w:val="22"/>
                <w:lang w:val="en-US" w:eastAsia="zh-CN" w:bidi="ar-SA"/>
              </w:rPr>
            </w:pPr>
            <w:r>
              <w:rPr>
                <w:rFonts w:hint="eastAsia" w:ascii="Times New Roman"/>
                <w:sz w:val="20"/>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972" w:type="dxa"/>
            <w:vMerge w:val="continue"/>
            <w:tcBorders>
              <w:top w:val="nil"/>
            </w:tcBorders>
          </w:tcPr>
          <w:p>
            <w:pPr>
              <w:rPr>
                <w:sz w:val="2"/>
                <w:szCs w:val="2"/>
              </w:rPr>
            </w:pPr>
          </w:p>
        </w:tc>
        <w:tc>
          <w:tcPr>
            <w:tcW w:w="1218" w:type="dxa"/>
            <w:gridSpan w:val="2"/>
            <w:vMerge w:val="restart"/>
          </w:tcPr>
          <w:p>
            <w:pPr>
              <w:pStyle w:val="13"/>
              <w:spacing w:before="10"/>
              <w:rPr>
                <w:rFonts w:ascii="方正小标宋简体"/>
                <w:sz w:val="17"/>
              </w:rPr>
            </w:pPr>
          </w:p>
          <w:p>
            <w:pPr>
              <w:pStyle w:val="13"/>
              <w:ind w:left="188"/>
              <w:rPr>
                <w:sz w:val="21"/>
              </w:rPr>
            </w:pPr>
            <w:r>
              <w:rPr>
                <w:sz w:val="21"/>
              </w:rPr>
              <w:t>绩效目标</w:t>
            </w:r>
          </w:p>
        </w:tc>
        <w:tc>
          <w:tcPr>
            <w:tcW w:w="596" w:type="dxa"/>
            <w:vMerge w:val="restart"/>
            <w:vAlign w:val="center"/>
          </w:tcPr>
          <w:p>
            <w:pPr>
              <w:pStyle w:val="13"/>
              <w:jc w:val="center"/>
              <w:rPr>
                <w:rFonts w:hint="default" w:ascii="Times New Roman" w:eastAsia="仿宋_GB2312"/>
                <w:sz w:val="20"/>
                <w:lang w:val="en-US" w:eastAsia="zh-CN"/>
              </w:rPr>
            </w:pPr>
            <w:r>
              <w:rPr>
                <w:rFonts w:hint="eastAsia" w:ascii="Times New Roman"/>
                <w:sz w:val="20"/>
                <w:lang w:val="en-US" w:eastAsia="zh-CN"/>
              </w:rPr>
              <w:t>5</w:t>
            </w:r>
          </w:p>
        </w:tc>
        <w:tc>
          <w:tcPr>
            <w:tcW w:w="1963" w:type="dxa"/>
            <w:vAlign w:val="center"/>
          </w:tcPr>
          <w:p>
            <w:pPr>
              <w:pStyle w:val="13"/>
              <w:spacing w:before="66"/>
              <w:ind w:left="225" w:right="217"/>
              <w:jc w:val="center"/>
              <w:rPr>
                <w:sz w:val="21"/>
              </w:rPr>
            </w:pPr>
            <w:r>
              <w:rPr>
                <w:sz w:val="21"/>
              </w:rPr>
              <w:t>绩效目标合理性</w:t>
            </w:r>
          </w:p>
        </w:tc>
        <w:tc>
          <w:tcPr>
            <w:tcW w:w="556" w:type="dxa"/>
            <w:vAlign w:val="center"/>
          </w:tcPr>
          <w:p>
            <w:pPr>
              <w:pStyle w:val="13"/>
              <w:ind w:left="0" w:leftChars="0" w:right="0" w:rightChars="0"/>
              <w:jc w:val="center"/>
              <w:rPr>
                <w:rFonts w:hint="default" w:ascii="Times New Roman" w:hAnsi="仿宋_GB2312" w:eastAsia="仿宋_GB2312" w:cs="仿宋_GB2312"/>
                <w:sz w:val="20"/>
                <w:szCs w:val="22"/>
                <w:lang w:val="en-US" w:eastAsia="en-US" w:bidi="ar-SA"/>
              </w:rPr>
            </w:pPr>
            <w:r>
              <w:rPr>
                <w:rFonts w:hint="eastAsia" w:ascii="Times New Roman"/>
                <w:sz w:val="20"/>
                <w:lang w:val="en-US" w:eastAsia="zh-CN"/>
              </w:rPr>
              <w:t>2.5</w:t>
            </w:r>
          </w:p>
        </w:tc>
        <w:tc>
          <w:tcPr>
            <w:tcW w:w="2996" w:type="dxa"/>
            <w:vAlign w:val="center"/>
          </w:tcPr>
          <w:p>
            <w:pPr>
              <w:widowControl/>
              <w:spacing w:line="240" w:lineRule="exact"/>
              <w:ind w:left="0" w:leftChars="0" w:right="0" w:rightChars="0"/>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rPr>
              <w:t>与实际工作内容具有相关性</w:t>
            </w:r>
            <w:r>
              <w:rPr>
                <w:rFonts w:hint="eastAsia" w:ascii="宋体" w:hAnsi="宋体" w:cs="宋体"/>
                <w:color w:val="000000"/>
                <w:kern w:val="0"/>
                <w:sz w:val="18"/>
                <w:szCs w:val="18"/>
                <w:lang w:eastAsia="zh-CN"/>
              </w:rPr>
              <w:t>，根据年度工作要点设定绩效目标。</w:t>
            </w:r>
          </w:p>
        </w:tc>
        <w:tc>
          <w:tcPr>
            <w:tcW w:w="675" w:type="dxa"/>
            <w:vAlign w:val="center"/>
          </w:tcPr>
          <w:p>
            <w:pPr>
              <w:pStyle w:val="13"/>
              <w:ind w:left="0" w:leftChars="0" w:right="0" w:rightChars="0"/>
              <w:jc w:val="center"/>
              <w:rPr>
                <w:rFonts w:hint="default" w:ascii="Times New Roman" w:hAnsi="仿宋_GB2312" w:eastAsia="仿宋_GB2312" w:cs="仿宋_GB2312"/>
                <w:sz w:val="20"/>
                <w:szCs w:val="22"/>
                <w:lang w:val="en-US" w:eastAsia="en-US" w:bidi="ar-SA"/>
              </w:rPr>
            </w:pPr>
            <w:r>
              <w:rPr>
                <w:rFonts w:hint="eastAsia" w:ascii="Times New Roman"/>
                <w:sz w:val="20"/>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972" w:type="dxa"/>
            <w:vMerge w:val="continue"/>
            <w:tcBorders>
              <w:top w:val="nil"/>
            </w:tcBorders>
          </w:tcPr>
          <w:p>
            <w:pPr>
              <w:rPr>
                <w:sz w:val="2"/>
                <w:szCs w:val="2"/>
              </w:rPr>
            </w:pPr>
          </w:p>
        </w:tc>
        <w:tc>
          <w:tcPr>
            <w:tcW w:w="1218" w:type="dxa"/>
            <w:gridSpan w:val="2"/>
            <w:vMerge w:val="continue"/>
            <w:tcBorders>
              <w:top w:val="nil"/>
            </w:tcBorders>
          </w:tcPr>
          <w:p>
            <w:pPr>
              <w:rPr>
                <w:sz w:val="2"/>
                <w:szCs w:val="2"/>
              </w:rPr>
            </w:pPr>
          </w:p>
        </w:tc>
        <w:tc>
          <w:tcPr>
            <w:tcW w:w="596" w:type="dxa"/>
            <w:vMerge w:val="continue"/>
            <w:tcBorders>
              <w:top w:val="nil"/>
            </w:tcBorders>
            <w:vAlign w:val="center"/>
          </w:tcPr>
          <w:p>
            <w:pPr>
              <w:jc w:val="center"/>
              <w:rPr>
                <w:sz w:val="2"/>
                <w:szCs w:val="2"/>
              </w:rPr>
            </w:pPr>
          </w:p>
        </w:tc>
        <w:tc>
          <w:tcPr>
            <w:tcW w:w="1963" w:type="dxa"/>
            <w:vAlign w:val="center"/>
          </w:tcPr>
          <w:p>
            <w:pPr>
              <w:pStyle w:val="13"/>
              <w:spacing w:before="104"/>
              <w:ind w:left="225" w:right="217"/>
              <w:jc w:val="center"/>
              <w:rPr>
                <w:sz w:val="21"/>
              </w:rPr>
            </w:pPr>
            <w:r>
              <w:rPr>
                <w:sz w:val="21"/>
              </w:rPr>
              <w:t>绩效指标明确性</w:t>
            </w:r>
          </w:p>
        </w:tc>
        <w:tc>
          <w:tcPr>
            <w:tcW w:w="556" w:type="dxa"/>
            <w:vAlign w:val="center"/>
          </w:tcPr>
          <w:p>
            <w:pPr>
              <w:pStyle w:val="13"/>
              <w:ind w:left="0" w:leftChars="0" w:right="0" w:rightChars="0"/>
              <w:jc w:val="center"/>
              <w:rPr>
                <w:rFonts w:hint="default" w:ascii="Times New Roman" w:hAnsi="仿宋_GB2312" w:eastAsia="仿宋_GB2312" w:cs="仿宋_GB2312"/>
                <w:sz w:val="20"/>
                <w:szCs w:val="22"/>
                <w:lang w:val="en-US" w:eastAsia="en-US" w:bidi="ar-SA"/>
              </w:rPr>
            </w:pPr>
            <w:r>
              <w:rPr>
                <w:rFonts w:hint="eastAsia" w:ascii="Times New Roman"/>
                <w:sz w:val="20"/>
                <w:lang w:val="en-US" w:eastAsia="zh-CN"/>
              </w:rPr>
              <w:t>2.5</w:t>
            </w:r>
          </w:p>
        </w:tc>
        <w:tc>
          <w:tcPr>
            <w:tcW w:w="2996" w:type="dxa"/>
            <w:vAlign w:val="center"/>
          </w:tcPr>
          <w:p>
            <w:pPr>
              <w:widowControl/>
              <w:spacing w:line="240" w:lineRule="exact"/>
              <w:ind w:left="0" w:leftChars="0" w:right="0" w:rightChars="0"/>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eastAsia="zh-CN"/>
              </w:rPr>
              <w:t>明确具体指标</w:t>
            </w:r>
          </w:p>
        </w:tc>
        <w:tc>
          <w:tcPr>
            <w:tcW w:w="675" w:type="dxa"/>
            <w:vAlign w:val="center"/>
          </w:tcPr>
          <w:p>
            <w:pPr>
              <w:pStyle w:val="13"/>
              <w:ind w:left="0" w:leftChars="0" w:right="0" w:rightChars="0"/>
              <w:jc w:val="center"/>
              <w:rPr>
                <w:rFonts w:hint="default" w:ascii="Times New Roman" w:hAnsi="仿宋_GB2312" w:eastAsia="仿宋_GB2312" w:cs="仿宋_GB2312"/>
                <w:sz w:val="20"/>
                <w:szCs w:val="22"/>
                <w:lang w:val="en-US" w:eastAsia="zh-CN" w:bidi="ar-SA"/>
              </w:rPr>
            </w:pPr>
            <w:r>
              <w:rPr>
                <w:rFonts w:hint="eastAsia" w:ascii="Times New Roman"/>
                <w:sz w:val="20"/>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972" w:type="dxa"/>
            <w:vMerge w:val="continue"/>
            <w:tcBorders>
              <w:top w:val="nil"/>
            </w:tcBorders>
          </w:tcPr>
          <w:p>
            <w:pPr>
              <w:rPr>
                <w:sz w:val="2"/>
                <w:szCs w:val="2"/>
              </w:rPr>
            </w:pPr>
          </w:p>
        </w:tc>
        <w:tc>
          <w:tcPr>
            <w:tcW w:w="1218" w:type="dxa"/>
            <w:gridSpan w:val="2"/>
            <w:vMerge w:val="restart"/>
          </w:tcPr>
          <w:p>
            <w:pPr>
              <w:pStyle w:val="13"/>
              <w:spacing w:before="12"/>
              <w:rPr>
                <w:rFonts w:ascii="方正小标宋简体"/>
                <w:sz w:val="16"/>
              </w:rPr>
            </w:pPr>
          </w:p>
          <w:p>
            <w:pPr>
              <w:pStyle w:val="13"/>
              <w:ind w:left="188"/>
              <w:rPr>
                <w:sz w:val="21"/>
              </w:rPr>
            </w:pPr>
            <w:r>
              <w:rPr>
                <w:sz w:val="21"/>
              </w:rPr>
              <w:t>资金投入</w:t>
            </w:r>
          </w:p>
        </w:tc>
        <w:tc>
          <w:tcPr>
            <w:tcW w:w="596" w:type="dxa"/>
            <w:vMerge w:val="restart"/>
            <w:vAlign w:val="center"/>
          </w:tcPr>
          <w:p>
            <w:pPr>
              <w:pStyle w:val="13"/>
              <w:jc w:val="center"/>
              <w:rPr>
                <w:rFonts w:hint="eastAsia" w:ascii="Times New Roman" w:eastAsia="仿宋_GB2312"/>
                <w:sz w:val="20"/>
                <w:lang w:val="en-US" w:eastAsia="zh-CN"/>
              </w:rPr>
            </w:pPr>
            <w:r>
              <w:rPr>
                <w:rFonts w:hint="eastAsia" w:ascii="Times New Roman"/>
                <w:sz w:val="20"/>
                <w:lang w:val="en-US" w:eastAsia="zh-CN"/>
              </w:rPr>
              <w:t>5</w:t>
            </w:r>
          </w:p>
        </w:tc>
        <w:tc>
          <w:tcPr>
            <w:tcW w:w="1963" w:type="dxa"/>
            <w:vAlign w:val="center"/>
          </w:tcPr>
          <w:p>
            <w:pPr>
              <w:pStyle w:val="13"/>
              <w:spacing w:before="89"/>
              <w:ind w:left="225" w:right="217"/>
              <w:jc w:val="center"/>
              <w:rPr>
                <w:sz w:val="21"/>
              </w:rPr>
            </w:pPr>
            <w:r>
              <w:rPr>
                <w:sz w:val="21"/>
              </w:rPr>
              <w:t>预算编制科学性</w:t>
            </w:r>
          </w:p>
        </w:tc>
        <w:tc>
          <w:tcPr>
            <w:tcW w:w="556" w:type="dxa"/>
            <w:vAlign w:val="center"/>
          </w:tcPr>
          <w:p>
            <w:pPr>
              <w:pStyle w:val="13"/>
              <w:ind w:left="0" w:leftChars="0" w:right="0" w:rightChars="0"/>
              <w:jc w:val="center"/>
              <w:rPr>
                <w:rFonts w:hint="default" w:ascii="Times New Roman" w:hAnsi="仿宋_GB2312" w:eastAsia="仿宋_GB2312" w:cs="仿宋_GB2312"/>
                <w:sz w:val="20"/>
                <w:szCs w:val="22"/>
                <w:lang w:val="en-US" w:eastAsia="zh-CN" w:bidi="ar-SA"/>
              </w:rPr>
            </w:pPr>
            <w:r>
              <w:rPr>
                <w:rFonts w:hint="eastAsia" w:ascii="Times New Roman"/>
                <w:sz w:val="20"/>
                <w:lang w:val="en-US" w:eastAsia="zh-CN"/>
              </w:rPr>
              <w:t>2.5</w:t>
            </w:r>
          </w:p>
        </w:tc>
        <w:tc>
          <w:tcPr>
            <w:tcW w:w="2996" w:type="dxa"/>
            <w:vAlign w:val="center"/>
          </w:tcPr>
          <w:p>
            <w:pPr>
              <w:widowControl/>
              <w:spacing w:line="240" w:lineRule="exact"/>
              <w:ind w:left="0" w:leftChars="0" w:right="0" w:rightChars="0"/>
              <w:jc w:val="left"/>
              <w:rPr>
                <w:rFonts w:hint="eastAsia" w:ascii="宋体" w:hAnsi="宋体" w:cs="宋体"/>
                <w:color w:val="000000"/>
                <w:kern w:val="0"/>
                <w:sz w:val="18"/>
                <w:szCs w:val="18"/>
                <w:lang w:val="en-US" w:eastAsia="en-US"/>
              </w:rPr>
            </w:pPr>
            <w:r>
              <w:rPr>
                <w:rFonts w:hint="eastAsia" w:ascii="宋体" w:hAnsi="宋体" w:cs="宋体"/>
                <w:color w:val="000000"/>
                <w:kern w:val="0"/>
                <w:sz w:val="18"/>
                <w:szCs w:val="18"/>
              </w:rPr>
              <w:t>预算确定的资金量与工作任务相匹配</w:t>
            </w:r>
          </w:p>
        </w:tc>
        <w:tc>
          <w:tcPr>
            <w:tcW w:w="675" w:type="dxa"/>
            <w:vAlign w:val="center"/>
          </w:tcPr>
          <w:p>
            <w:pPr>
              <w:pStyle w:val="13"/>
              <w:ind w:left="0" w:leftChars="0" w:right="0" w:rightChars="0"/>
              <w:jc w:val="center"/>
              <w:rPr>
                <w:rFonts w:hint="default" w:ascii="Times New Roman" w:hAnsi="仿宋_GB2312" w:eastAsia="仿宋_GB2312" w:cs="仿宋_GB2312"/>
                <w:sz w:val="20"/>
                <w:szCs w:val="22"/>
                <w:lang w:val="en-US" w:eastAsia="en-US" w:bidi="ar-SA"/>
              </w:rPr>
            </w:pPr>
            <w:r>
              <w:rPr>
                <w:rFonts w:hint="eastAsia" w:ascii="Times New Roman"/>
                <w:sz w:val="20"/>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972" w:type="dxa"/>
            <w:vMerge w:val="continue"/>
            <w:tcBorders>
              <w:top w:val="nil"/>
            </w:tcBorders>
          </w:tcPr>
          <w:p>
            <w:pPr>
              <w:rPr>
                <w:sz w:val="2"/>
                <w:szCs w:val="2"/>
              </w:rPr>
            </w:pPr>
          </w:p>
        </w:tc>
        <w:tc>
          <w:tcPr>
            <w:tcW w:w="1218" w:type="dxa"/>
            <w:gridSpan w:val="2"/>
            <w:vMerge w:val="continue"/>
            <w:tcBorders>
              <w:top w:val="nil"/>
            </w:tcBorders>
          </w:tcPr>
          <w:p>
            <w:pPr>
              <w:rPr>
                <w:sz w:val="2"/>
                <w:szCs w:val="2"/>
              </w:rPr>
            </w:pPr>
          </w:p>
        </w:tc>
        <w:tc>
          <w:tcPr>
            <w:tcW w:w="596" w:type="dxa"/>
            <w:vMerge w:val="continue"/>
            <w:tcBorders>
              <w:top w:val="nil"/>
            </w:tcBorders>
            <w:vAlign w:val="center"/>
          </w:tcPr>
          <w:p>
            <w:pPr>
              <w:jc w:val="center"/>
              <w:rPr>
                <w:sz w:val="2"/>
                <w:szCs w:val="2"/>
              </w:rPr>
            </w:pPr>
          </w:p>
        </w:tc>
        <w:tc>
          <w:tcPr>
            <w:tcW w:w="1963" w:type="dxa"/>
            <w:vAlign w:val="center"/>
          </w:tcPr>
          <w:p>
            <w:pPr>
              <w:pStyle w:val="13"/>
              <w:spacing w:before="65"/>
              <w:ind w:left="225" w:right="217"/>
              <w:jc w:val="center"/>
              <w:rPr>
                <w:sz w:val="21"/>
              </w:rPr>
            </w:pPr>
            <w:r>
              <w:rPr>
                <w:sz w:val="21"/>
              </w:rPr>
              <w:t>资金分配合理性</w:t>
            </w:r>
          </w:p>
        </w:tc>
        <w:tc>
          <w:tcPr>
            <w:tcW w:w="556" w:type="dxa"/>
            <w:vAlign w:val="center"/>
          </w:tcPr>
          <w:p>
            <w:pPr>
              <w:pStyle w:val="13"/>
              <w:ind w:left="0" w:leftChars="0" w:right="0" w:rightChars="0"/>
              <w:jc w:val="center"/>
              <w:rPr>
                <w:rFonts w:hint="default" w:ascii="Times New Roman" w:hAnsi="仿宋_GB2312" w:eastAsia="仿宋_GB2312" w:cs="仿宋_GB2312"/>
                <w:sz w:val="20"/>
                <w:szCs w:val="22"/>
                <w:lang w:val="en-US" w:eastAsia="zh-CN" w:bidi="ar-SA"/>
              </w:rPr>
            </w:pPr>
            <w:r>
              <w:rPr>
                <w:rFonts w:hint="eastAsia" w:ascii="Times New Roman"/>
                <w:sz w:val="20"/>
                <w:lang w:val="en-US" w:eastAsia="zh-CN"/>
              </w:rPr>
              <w:t>2.5</w:t>
            </w:r>
          </w:p>
        </w:tc>
        <w:tc>
          <w:tcPr>
            <w:tcW w:w="2996" w:type="dxa"/>
            <w:vAlign w:val="center"/>
          </w:tcPr>
          <w:p>
            <w:pPr>
              <w:widowControl/>
              <w:spacing w:line="240" w:lineRule="exact"/>
              <w:ind w:left="0" w:leftChars="0" w:right="0" w:rightChars="0"/>
              <w:jc w:val="left"/>
              <w:rPr>
                <w:rFonts w:hint="eastAsia" w:ascii="宋体" w:hAnsi="宋体" w:cs="宋体"/>
                <w:color w:val="000000"/>
                <w:kern w:val="0"/>
                <w:sz w:val="18"/>
                <w:szCs w:val="18"/>
                <w:lang w:val="en-US" w:eastAsia="en-US"/>
              </w:rPr>
            </w:pPr>
            <w:r>
              <w:rPr>
                <w:rFonts w:hint="eastAsia" w:ascii="宋体" w:hAnsi="宋体" w:cs="宋体"/>
                <w:color w:val="000000"/>
                <w:kern w:val="0"/>
                <w:sz w:val="18"/>
                <w:szCs w:val="18"/>
              </w:rPr>
              <w:t>预算资金分配依据充分</w:t>
            </w:r>
          </w:p>
        </w:tc>
        <w:tc>
          <w:tcPr>
            <w:tcW w:w="675" w:type="dxa"/>
            <w:vAlign w:val="center"/>
          </w:tcPr>
          <w:p>
            <w:pPr>
              <w:pStyle w:val="13"/>
              <w:ind w:left="0" w:leftChars="0" w:right="0" w:rightChars="0"/>
              <w:jc w:val="center"/>
              <w:rPr>
                <w:rFonts w:hint="default" w:ascii="Times New Roman" w:hAnsi="仿宋_GB2312" w:eastAsia="仿宋_GB2312" w:cs="仿宋_GB2312"/>
                <w:sz w:val="20"/>
                <w:szCs w:val="22"/>
                <w:lang w:val="en-US" w:eastAsia="zh-CN" w:bidi="ar-SA"/>
              </w:rPr>
            </w:pPr>
            <w:r>
              <w:rPr>
                <w:rFonts w:hint="eastAsia" w:ascii="Times New Roman"/>
                <w:sz w:val="20"/>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972" w:type="dxa"/>
            <w:vMerge w:val="restart"/>
          </w:tcPr>
          <w:p>
            <w:pPr>
              <w:pStyle w:val="13"/>
              <w:rPr>
                <w:rFonts w:ascii="方正小标宋简体"/>
                <w:sz w:val="20"/>
              </w:rPr>
            </w:pPr>
          </w:p>
          <w:p>
            <w:pPr>
              <w:pStyle w:val="13"/>
              <w:spacing w:before="17"/>
              <w:rPr>
                <w:rFonts w:ascii="方正小标宋简体"/>
                <w:sz w:val="22"/>
              </w:rPr>
            </w:pPr>
          </w:p>
          <w:p>
            <w:pPr>
              <w:pStyle w:val="13"/>
              <w:spacing w:line="262" w:lineRule="exact"/>
              <w:ind w:left="42" w:right="37"/>
              <w:jc w:val="center"/>
              <w:rPr>
                <w:sz w:val="21"/>
              </w:rPr>
            </w:pPr>
            <w:r>
              <w:rPr>
                <w:sz w:val="21"/>
              </w:rPr>
              <w:t>过程</w:t>
            </w:r>
          </w:p>
          <w:p>
            <w:pPr>
              <w:pStyle w:val="13"/>
              <w:spacing w:line="262" w:lineRule="exact"/>
              <w:ind w:left="44" w:right="37"/>
              <w:jc w:val="center"/>
              <w:rPr>
                <w:sz w:val="21"/>
              </w:rPr>
            </w:pPr>
            <w:r>
              <w:rPr>
                <w:sz w:val="21"/>
              </w:rPr>
              <w:t>（15分）</w:t>
            </w:r>
          </w:p>
        </w:tc>
        <w:tc>
          <w:tcPr>
            <w:tcW w:w="1218" w:type="dxa"/>
            <w:gridSpan w:val="2"/>
            <w:vMerge w:val="restart"/>
          </w:tcPr>
          <w:p>
            <w:pPr>
              <w:pStyle w:val="13"/>
              <w:spacing w:before="11"/>
              <w:rPr>
                <w:rFonts w:ascii="方正小标宋简体"/>
                <w:sz w:val="24"/>
              </w:rPr>
            </w:pPr>
          </w:p>
          <w:p>
            <w:pPr>
              <w:pStyle w:val="13"/>
              <w:ind w:left="188"/>
              <w:rPr>
                <w:sz w:val="21"/>
              </w:rPr>
            </w:pPr>
            <w:r>
              <w:rPr>
                <w:sz w:val="21"/>
              </w:rPr>
              <w:t>资金管理</w:t>
            </w:r>
          </w:p>
        </w:tc>
        <w:tc>
          <w:tcPr>
            <w:tcW w:w="596" w:type="dxa"/>
            <w:vMerge w:val="restart"/>
            <w:vAlign w:val="center"/>
          </w:tcPr>
          <w:p>
            <w:pPr>
              <w:pStyle w:val="13"/>
              <w:jc w:val="center"/>
              <w:rPr>
                <w:rFonts w:hint="default" w:ascii="Times New Roman" w:eastAsia="仿宋_GB2312"/>
                <w:sz w:val="20"/>
                <w:lang w:val="en-US" w:eastAsia="zh-CN"/>
              </w:rPr>
            </w:pPr>
            <w:r>
              <w:rPr>
                <w:rFonts w:hint="eastAsia" w:ascii="Times New Roman"/>
                <w:sz w:val="20"/>
                <w:lang w:val="en-US" w:eastAsia="zh-CN"/>
              </w:rPr>
              <w:t>9</w:t>
            </w:r>
          </w:p>
        </w:tc>
        <w:tc>
          <w:tcPr>
            <w:tcW w:w="1963" w:type="dxa"/>
            <w:vAlign w:val="center"/>
          </w:tcPr>
          <w:p>
            <w:pPr>
              <w:pStyle w:val="13"/>
              <w:spacing w:before="40"/>
              <w:ind w:left="223" w:right="217"/>
              <w:jc w:val="center"/>
              <w:rPr>
                <w:sz w:val="21"/>
              </w:rPr>
            </w:pPr>
            <w:r>
              <w:rPr>
                <w:sz w:val="21"/>
              </w:rPr>
              <w:t>资金到位率</w:t>
            </w:r>
          </w:p>
        </w:tc>
        <w:tc>
          <w:tcPr>
            <w:tcW w:w="556" w:type="dxa"/>
            <w:vAlign w:val="center"/>
          </w:tcPr>
          <w:p>
            <w:pPr>
              <w:pStyle w:val="13"/>
              <w:jc w:val="center"/>
              <w:rPr>
                <w:rFonts w:hint="eastAsia" w:ascii="Times New Roman" w:eastAsia="仿宋_GB2312"/>
                <w:sz w:val="20"/>
                <w:lang w:val="en-US" w:eastAsia="zh-CN"/>
              </w:rPr>
            </w:pPr>
            <w:r>
              <w:rPr>
                <w:rFonts w:hint="eastAsia" w:ascii="Times New Roman"/>
                <w:sz w:val="20"/>
                <w:lang w:val="en-US" w:eastAsia="zh-CN"/>
              </w:rPr>
              <w:t>3</w:t>
            </w:r>
          </w:p>
        </w:tc>
        <w:tc>
          <w:tcPr>
            <w:tcW w:w="2996" w:type="dxa"/>
            <w:vAlign w:val="center"/>
          </w:tcPr>
          <w:p>
            <w:pPr>
              <w:widowControl/>
              <w:spacing w:line="240" w:lineRule="exact"/>
              <w:ind w:left="0" w:leftChars="0" w:right="0" w:rightChars="0"/>
              <w:jc w:val="left"/>
              <w:rPr>
                <w:rFonts w:hint="eastAsia" w:ascii="宋体" w:hAnsi="宋体" w:cs="宋体"/>
                <w:color w:val="000000"/>
                <w:kern w:val="0"/>
                <w:sz w:val="18"/>
                <w:szCs w:val="18"/>
                <w:lang w:val="en-US" w:eastAsia="en-US"/>
              </w:rPr>
            </w:pPr>
            <w:r>
              <w:rPr>
                <w:rFonts w:hint="eastAsia" w:ascii="宋体" w:hAnsi="宋体" w:cs="宋体"/>
                <w:color w:val="000000"/>
                <w:kern w:val="0"/>
                <w:sz w:val="18"/>
                <w:szCs w:val="18"/>
              </w:rPr>
              <w:t>资金到位率=（实际到位资金/预算资金）×100%</w:t>
            </w:r>
          </w:p>
        </w:tc>
        <w:tc>
          <w:tcPr>
            <w:tcW w:w="675" w:type="dxa"/>
            <w:vAlign w:val="center"/>
          </w:tcPr>
          <w:p>
            <w:pPr>
              <w:pStyle w:val="13"/>
              <w:jc w:val="center"/>
              <w:rPr>
                <w:rFonts w:hint="eastAsia" w:ascii="Times New Roman" w:eastAsia="仿宋_GB2312"/>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972" w:type="dxa"/>
            <w:vMerge w:val="continue"/>
            <w:tcBorders>
              <w:top w:val="nil"/>
            </w:tcBorders>
          </w:tcPr>
          <w:p>
            <w:pPr>
              <w:rPr>
                <w:sz w:val="2"/>
                <w:szCs w:val="2"/>
              </w:rPr>
            </w:pPr>
          </w:p>
        </w:tc>
        <w:tc>
          <w:tcPr>
            <w:tcW w:w="1218" w:type="dxa"/>
            <w:gridSpan w:val="2"/>
            <w:vMerge w:val="continue"/>
            <w:tcBorders>
              <w:top w:val="nil"/>
            </w:tcBorders>
          </w:tcPr>
          <w:p>
            <w:pPr>
              <w:rPr>
                <w:sz w:val="2"/>
                <w:szCs w:val="2"/>
              </w:rPr>
            </w:pPr>
          </w:p>
        </w:tc>
        <w:tc>
          <w:tcPr>
            <w:tcW w:w="596" w:type="dxa"/>
            <w:vMerge w:val="continue"/>
            <w:tcBorders>
              <w:top w:val="nil"/>
            </w:tcBorders>
            <w:vAlign w:val="center"/>
          </w:tcPr>
          <w:p>
            <w:pPr>
              <w:jc w:val="center"/>
              <w:rPr>
                <w:sz w:val="2"/>
                <w:szCs w:val="2"/>
              </w:rPr>
            </w:pPr>
          </w:p>
        </w:tc>
        <w:tc>
          <w:tcPr>
            <w:tcW w:w="1963" w:type="dxa"/>
            <w:vAlign w:val="center"/>
          </w:tcPr>
          <w:p>
            <w:pPr>
              <w:pStyle w:val="13"/>
              <w:spacing w:before="38"/>
              <w:ind w:left="223" w:right="217"/>
              <w:jc w:val="center"/>
              <w:rPr>
                <w:sz w:val="21"/>
              </w:rPr>
            </w:pPr>
            <w:r>
              <w:rPr>
                <w:sz w:val="21"/>
              </w:rPr>
              <w:t>预算执行率</w:t>
            </w:r>
          </w:p>
        </w:tc>
        <w:tc>
          <w:tcPr>
            <w:tcW w:w="556" w:type="dxa"/>
            <w:vAlign w:val="center"/>
          </w:tcPr>
          <w:p>
            <w:pPr>
              <w:pStyle w:val="13"/>
              <w:jc w:val="center"/>
              <w:rPr>
                <w:rFonts w:hint="eastAsia" w:ascii="Times New Roman" w:eastAsia="仿宋_GB2312"/>
                <w:sz w:val="20"/>
                <w:lang w:val="en-US" w:eastAsia="zh-CN"/>
              </w:rPr>
            </w:pPr>
            <w:r>
              <w:rPr>
                <w:rFonts w:hint="eastAsia" w:ascii="Times New Roman"/>
                <w:sz w:val="20"/>
                <w:lang w:val="en-US" w:eastAsia="zh-CN"/>
              </w:rPr>
              <w:t>3</w:t>
            </w:r>
          </w:p>
        </w:tc>
        <w:tc>
          <w:tcPr>
            <w:tcW w:w="2996" w:type="dxa"/>
            <w:vAlign w:val="center"/>
          </w:tcPr>
          <w:p>
            <w:pPr>
              <w:widowControl/>
              <w:spacing w:line="240" w:lineRule="exact"/>
              <w:ind w:left="0" w:leftChars="0" w:right="0" w:rightChars="0"/>
              <w:jc w:val="left"/>
              <w:rPr>
                <w:rFonts w:hint="eastAsia" w:ascii="宋体" w:hAnsi="宋体" w:cs="宋体"/>
                <w:color w:val="000000"/>
                <w:kern w:val="0"/>
                <w:sz w:val="18"/>
                <w:szCs w:val="18"/>
                <w:lang w:val="en-US" w:eastAsia="en-US"/>
              </w:rPr>
            </w:pPr>
            <w:r>
              <w:rPr>
                <w:rFonts w:hint="eastAsia" w:ascii="宋体" w:hAnsi="宋体" w:cs="宋体"/>
                <w:color w:val="000000"/>
                <w:kern w:val="0"/>
                <w:sz w:val="18"/>
                <w:szCs w:val="18"/>
              </w:rPr>
              <w:t>预算执行率=（实际支出资金/实际到位资金）×100%</w:t>
            </w:r>
          </w:p>
        </w:tc>
        <w:tc>
          <w:tcPr>
            <w:tcW w:w="675" w:type="dxa"/>
            <w:vAlign w:val="center"/>
          </w:tcPr>
          <w:p>
            <w:pPr>
              <w:pStyle w:val="13"/>
              <w:ind w:left="0" w:leftChars="0" w:right="0" w:rightChars="0"/>
              <w:jc w:val="center"/>
              <w:rPr>
                <w:rFonts w:hint="eastAsia" w:ascii="Times New Roman"/>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72" w:type="dxa"/>
            <w:vMerge w:val="continue"/>
            <w:tcBorders>
              <w:top w:val="nil"/>
            </w:tcBorders>
          </w:tcPr>
          <w:p>
            <w:pPr>
              <w:rPr>
                <w:sz w:val="2"/>
                <w:szCs w:val="2"/>
              </w:rPr>
            </w:pPr>
          </w:p>
        </w:tc>
        <w:tc>
          <w:tcPr>
            <w:tcW w:w="1218" w:type="dxa"/>
            <w:gridSpan w:val="2"/>
            <w:vMerge w:val="continue"/>
            <w:tcBorders>
              <w:top w:val="nil"/>
            </w:tcBorders>
          </w:tcPr>
          <w:p>
            <w:pPr>
              <w:rPr>
                <w:sz w:val="2"/>
                <w:szCs w:val="2"/>
              </w:rPr>
            </w:pPr>
          </w:p>
        </w:tc>
        <w:tc>
          <w:tcPr>
            <w:tcW w:w="596" w:type="dxa"/>
            <w:vMerge w:val="continue"/>
            <w:tcBorders>
              <w:top w:val="nil"/>
            </w:tcBorders>
            <w:vAlign w:val="center"/>
          </w:tcPr>
          <w:p>
            <w:pPr>
              <w:jc w:val="center"/>
              <w:rPr>
                <w:sz w:val="2"/>
                <w:szCs w:val="2"/>
              </w:rPr>
            </w:pPr>
          </w:p>
        </w:tc>
        <w:tc>
          <w:tcPr>
            <w:tcW w:w="1963" w:type="dxa"/>
            <w:vAlign w:val="center"/>
          </w:tcPr>
          <w:p>
            <w:pPr>
              <w:pStyle w:val="13"/>
              <w:spacing w:before="73"/>
              <w:ind w:left="225" w:right="217"/>
              <w:jc w:val="center"/>
              <w:rPr>
                <w:sz w:val="21"/>
              </w:rPr>
            </w:pPr>
            <w:r>
              <w:rPr>
                <w:sz w:val="21"/>
              </w:rPr>
              <w:t>资金使用合规性</w:t>
            </w:r>
          </w:p>
        </w:tc>
        <w:tc>
          <w:tcPr>
            <w:tcW w:w="556" w:type="dxa"/>
            <w:vAlign w:val="center"/>
          </w:tcPr>
          <w:p>
            <w:pPr>
              <w:pStyle w:val="13"/>
              <w:jc w:val="center"/>
              <w:rPr>
                <w:rFonts w:hint="eastAsia" w:ascii="Times New Roman" w:eastAsia="仿宋_GB2312"/>
                <w:sz w:val="20"/>
                <w:lang w:val="en-US" w:eastAsia="zh-CN"/>
              </w:rPr>
            </w:pPr>
            <w:r>
              <w:rPr>
                <w:rFonts w:hint="eastAsia" w:ascii="Times New Roman"/>
                <w:sz w:val="20"/>
                <w:lang w:val="en-US" w:eastAsia="zh-CN"/>
              </w:rPr>
              <w:t>3</w:t>
            </w:r>
          </w:p>
        </w:tc>
        <w:tc>
          <w:tcPr>
            <w:tcW w:w="2996" w:type="dxa"/>
            <w:vAlign w:val="center"/>
          </w:tcPr>
          <w:p>
            <w:pPr>
              <w:widowControl/>
              <w:spacing w:line="240" w:lineRule="exact"/>
              <w:ind w:left="0" w:leftChars="0" w:right="0" w:rightChars="0"/>
              <w:jc w:val="left"/>
              <w:rPr>
                <w:rFonts w:hint="eastAsia" w:ascii="宋体" w:hAnsi="宋体" w:cs="宋体"/>
                <w:color w:val="000000"/>
                <w:kern w:val="0"/>
                <w:sz w:val="18"/>
                <w:szCs w:val="18"/>
                <w:lang w:val="en-US" w:eastAsia="en-US"/>
              </w:rPr>
            </w:pPr>
            <w:r>
              <w:rPr>
                <w:rFonts w:hint="eastAsia" w:ascii="宋体" w:hAnsi="宋体" w:cs="宋体"/>
                <w:color w:val="000000"/>
                <w:kern w:val="0"/>
                <w:sz w:val="18"/>
                <w:szCs w:val="18"/>
              </w:rPr>
              <w:t>资金的拨付有完整的审批程序和手续</w:t>
            </w:r>
          </w:p>
        </w:tc>
        <w:tc>
          <w:tcPr>
            <w:tcW w:w="675" w:type="dxa"/>
            <w:vAlign w:val="center"/>
          </w:tcPr>
          <w:p>
            <w:pPr>
              <w:pStyle w:val="13"/>
              <w:ind w:left="0" w:leftChars="0" w:right="0" w:rightChars="0"/>
              <w:jc w:val="center"/>
              <w:rPr>
                <w:rFonts w:hint="eastAsia" w:ascii="Times New Roman"/>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972" w:type="dxa"/>
            <w:vMerge w:val="continue"/>
            <w:tcBorders>
              <w:top w:val="nil"/>
            </w:tcBorders>
          </w:tcPr>
          <w:p>
            <w:pPr>
              <w:rPr>
                <w:sz w:val="2"/>
                <w:szCs w:val="2"/>
              </w:rPr>
            </w:pPr>
          </w:p>
        </w:tc>
        <w:tc>
          <w:tcPr>
            <w:tcW w:w="1218" w:type="dxa"/>
            <w:gridSpan w:val="2"/>
            <w:vMerge w:val="restart"/>
          </w:tcPr>
          <w:p>
            <w:pPr>
              <w:pStyle w:val="13"/>
              <w:spacing w:before="9"/>
              <w:rPr>
                <w:rFonts w:ascii="方正小标宋简体"/>
                <w:sz w:val="17"/>
              </w:rPr>
            </w:pPr>
          </w:p>
          <w:p>
            <w:pPr>
              <w:pStyle w:val="13"/>
              <w:ind w:left="188"/>
              <w:rPr>
                <w:sz w:val="21"/>
              </w:rPr>
            </w:pPr>
            <w:r>
              <w:rPr>
                <w:sz w:val="21"/>
              </w:rPr>
              <w:t>组织实施</w:t>
            </w:r>
          </w:p>
        </w:tc>
        <w:tc>
          <w:tcPr>
            <w:tcW w:w="596" w:type="dxa"/>
            <w:vMerge w:val="restart"/>
            <w:vAlign w:val="center"/>
          </w:tcPr>
          <w:p>
            <w:pPr>
              <w:pStyle w:val="13"/>
              <w:jc w:val="center"/>
              <w:rPr>
                <w:rFonts w:hint="eastAsia" w:ascii="Times New Roman" w:eastAsia="仿宋_GB2312"/>
                <w:sz w:val="20"/>
                <w:lang w:val="en-US" w:eastAsia="zh-CN"/>
              </w:rPr>
            </w:pPr>
            <w:r>
              <w:rPr>
                <w:rFonts w:hint="eastAsia" w:ascii="Times New Roman"/>
                <w:sz w:val="20"/>
                <w:lang w:val="en-US" w:eastAsia="zh-CN"/>
              </w:rPr>
              <w:t>6</w:t>
            </w:r>
          </w:p>
        </w:tc>
        <w:tc>
          <w:tcPr>
            <w:tcW w:w="1963" w:type="dxa"/>
            <w:vAlign w:val="center"/>
          </w:tcPr>
          <w:p>
            <w:pPr>
              <w:pStyle w:val="13"/>
              <w:spacing w:before="96"/>
              <w:ind w:left="225" w:right="217"/>
              <w:jc w:val="center"/>
              <w:rPr>
                <w:sz w:val="21"/>
              </w:rPr>
            </w:pPr>
            <w:r>
              <w:rPr>
                <w:sz w:val="21"/>
              </w:rPr>
              <w:t>管理制度健全性</w:t>
            </w:r>
          </w:p>
        </w:tc>
        <w:tc>
          <w:tcPr>
            <w:tcW w:w="556" w:type="dxa"/>
            <w:vAlign w:val="center"/>
          </w:tcPr>
          <w:p>
            <w:pPr>
              <w:pStyle w:val="13"/>
              <w:jc w:val="center"/>
              <w:rPr>
                <w:rFonts w:hint="eastAsia" w:ascii="Times New Roman" w:eastAsia="仿宋_GB2312"/>
                <w:sz w:val="20"/>
                <w:lang w:val="en-US" w:eastAsia="zh-CN"/>
              </w:rPr>
            </w:pPr>
            <w:r>
              <w:rPr>
                <w:rFonts w:hint="eastAsia" w:ascii="Times New Roman"/>
                <w:sz w:val="20"/>
                <w:lang w:val="en-US" w:eastAsia="zh-CN"/>
              </w:rPr>
              <w:t>3</w:t>
            </w:r>
          </w:p>
        </w:tc>
        <w:tc>
          <w:tcPr>
            <w:tcW w:w="2996" w:type="dxa"/>
            <w:vAlign w:val="center"/>
          </w:tcPr>
          <w:p>
            <w:pPr>
              <w:pStyle w:val="13"/>
              <w:jc w:val="left"/>
              <w:rPr>
                <w:rFonts w:ascii="Times New Roman"/>
                <w:sz w:val="20"/>
              </w:rPr>
            </w:pPr>
            <w:r>
              <w:rPr>
                <w:rFonts w:hint="eastAsia" w:ascii="宋体" w:hAnsi="宋体" w:cs="宋体"/>
                <w:color w:val="000000"/>
                <w:kern w:val="0"/>
                <w:sz w:val="18"/>
                <w:szCs w:val="18"/>
              </w:rPr>
              <w:t>制定或具有相应的财务和业务管理制度</w:t>
            </w:r>
          </w:p>
        </w:tc>
        <w:tc>
          <w:tcPr>
            <w:tcW w:w="675" w:type="dxa"/>
            <w:vAlign w:val="center"/>
          </w:tcPr>
          <w:p>
            <w:pPr>
              <w:pStyle w:val="13"/>
              <w:ind w:left="0" w:leftChars="0" w:right="0" w:rightChars="0"/>
              <w:jc w:val="center"/>
              <w:rPr>
                <w:rFonts w:hint="eastAsia" w:ascii="Times New Roman"/>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972" w:type="dxa"/>
            <w:vMerge w:val="continue"/>
            <w:tcBorders>
              <w:top w:val="nil"/>
            </w:tcBorders>
          </w:tcPr>
          <w:p>
            <w:pPr>
              <w:rPr>
                <w:sz w:val="2"/>
                <w:szCs w:val="2"/>
              </w:rPr>
            </w:pPr>
          </w:p>
        </w:tc>
        <w:tc>
          <w:tcPr>
            <w:tcW w:w="1218" w:type="dxa"/>
            <w:gridSpan w:val="2"/>
            <w:vMerge w:val="continue"/>
            <w:tcBorders>
              <w:top w:val="nil"/>
            </w:tcBorders>
          </w:tcPr>
          <w:p>
            <w:pPr>
              <w:rPr>
                <w:sz w:val="2"/>
                <w:szCs w:val="2"/>
              </w:rPr>
            </w:pPr>
          </w:p>
        </w:tc>
        <w:tc>
          <w:tcPr>
            <w:tcW w:w="596" w:type="dxa"/>
            <w:vMerge w:val="continue"/>
            <w:tcBorders>
              <w:top w:val="nil"/>
            </w:tcBorders>
            <w:vAlign w:val="center"/>
          </w:tcPr>
          <w:p>
            <w:pPr>
              <w:jc w:val="center"/>
              <w:rPr>
                <w:sz w:val="2"/>
                <w:szCs w:val="2"/>
              </w:rPr>
            </w:pPr>
          </w:p>
        </w:tc>
        <w:tc>
          <w:tcPr>
            <w:tcW w:w="1963" w:type="dxa"/>
            <w:vAlign w:val="center"/>
          </w:tcPr>
          <w:p>
            <w:pPr>
              <w:pStyle w:val="13"/>
              <w:spacing w:before="72"/>
              <w:ind w:left="225" w:right="217"/>
              <w:jc w:val="center"/>
              <w:rPr>
                <w:sz w:val="21"/>
              </w:rPr>
            </w:pPr>
            <w:r>
              <w:rPr>
                <w:sz w:val="21"/>
              </w:rPr>
              <w:t>制度执行有效性</w:t>
            </w:r>
          </w:p>
        </w:tc>
        <w:tc>
          <w:tcPr>
            <w:tcW w:w="556" w:type="dxa"/>
            <w:vAlign w:val="center"/>
          </w:tcPr>
          <w:p>
            <w:pPr>
              <w:pStyle w:val="13"/>
              <w:jc w:val="center"/>
              <w:rPr>
                <w:rFonts w:hint="eastAsia" w:ascii="Times New Roman" w:eastAsia="仿宋_GB2312"/>
                <w:sz w:val="20"/>
                <w:lang w:val="en-US" w:eastAsia="zh-CN"/>
              </w:rPr>
            </w:pPr>
            <w:r>
              <w:rPr>
                <w:rFonts w:hint="eastAsia" w:ascii="Times New Roman"/>
                <w:sz w:val="20"/>
                <w:lang w:val="en-US" w:eastAsia="zh-CN"/>
              </w:rPr>
              <w:t>3</w:t>
            </w:r>
          </w:p>
        </w:tc>
        <w:tc>
          <w:tcPr>
            <w:tcW w:w="2996" w:type="dxa"/>
            <w:vAlign w:val="center"/>
          </w:tcPr>
          <w:p>
            <w:pPr>
              <w:pStyle w:val="13"/>
              <w:jc w:val="left"/>
              <w:rPr>
                <w:rFonts w:ascii="Times New Roman"/>
                <w:sz w:val="20"/>
              </w:rPr>
            </w:pPr>
            <w:r>
              <w:rPr>
                <w:rFonts w:hint="eastAsia" w:ascii="宋体" w:hAnsi="宋体" w:cs="宋体"/>
                <w:color w:val="000000"/>
                <w:kern w:val="0"/>
                <w:sz w:val="18"/>
                <w:szCs w:val="18"/>
              </w:rPr>
              <w:t>项目实施符合相关管理规定</w:t>
            </w:r>
          </w:p>
        </w:tc>
        <w:tc>
          <w:tcPr>
            <w:tcW w:w="675" w:type="dxa"/>
            <w:vAlign w:val="center"/>
          </w:tcPr>
          <w:p>
            <w:pPr>
              <w:pStyle w:val="13"/>
              <w:ind w:left="0" w:leftChars="0" w:right="0" w:rightChars="0"/>
              <w:jc w:val="center"/>
              <w:rPr>
                <w:rFonts w:hint="eastAsia" w:ascii="Times New Roman"/>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72" w:type="dxa"/>
            <w:vMerge w:val="restart"/>
          </w:tcPr>
          <w:p>
            <w:pPr>
              <w:pStyle w:val="13"/>
              <w:rPr>
                <w:rFonts w:ascii="方正小标宋简体"/>
                <w:sz w:val="20"/>
              </w:rPr>
            </w:pPr>
          </w:p>
          <w:p>
            <w:pPr>
              <w:pStyle w:val="13"/>
              <w:spacing w:before="10"/>
              <w:rPr>
                <w:rFonts w:ascii="方正小标宋简体"/>
                <w:sz w:val="24"/>
              </w:rPr>
            </w:pPr>
          </w:p>
          <w:p>
            <w:pPr>
              <w:pStyle w:val="13"/>
              <w:spacing w:line="263" w:lineRule="exact"/>
              <w:ind w:left="42" w:right="37"/>
              <w:jc w:val="center"/>
              <w:rPr>
                <w:sz w:val="21"/>
              </w:rPr>
            </w:pPr>
            <w:r>
              <w:rPr>
                <w:sz w:val="21"/>
              </w:rPr>
              <w:t>产出</w:t>
            </w:r>
          </w:p>
          <w:p>
            <w:pPr>
              <w:pStyle w:val="13"/>
              <w:spacing w:line="263" w:lineRule="exact"/>
              <w:ind w:left="44" w:right="37"/>
              <w:jc w:val="center"/>
              <w:rPr>
                <w:sz w:val="21"/>
              </w:rPr>
            </w:pPr>
            <w:r>
              <w:rPr>
                <w:sz w:val="21"/>
              </w:rPr>
              <w:t>（35分）</w:t>
            </w:r>
          </w:p>
        </w:tc>
        <w:tc>
          <w:tcPr>
            <w:tcW w:w="1218" w:type="dxa"/>
            <w:gridSpan w:val="2"/>
            <w:vMerge w:val="restart"/>
          </w:tcPr>
          <w:p>
            <w:pPr>
              <w:pStyle w:val="13"/>
              <w:spacing w:before="124"/>
              <w:ind w:left="188"/>
              <w:rPr>
                <w:sz w:val="21"/>
              </w:rPr>
            </w:pPr>
            <w:r>
              <w:rPr>
                <w:sz w:val="21"/>
              </w:rPr>
              <w:t>产出数量</w:t>
            </w:r>
          </w:p>
        </w:tc>
        <w:tc>
          <w:tcPr>
            <w:tcW w:w="596" w:type="dxa"/>
            <w:vMerge w:val="restart"/>
            <w:vAlign w:val="center"/>
          </w:tcPr>
          <w:p>
            <w:pPr>
              <w:pStyle w:val="13"/>
              <w:jc w:val="center"/>
              <w:rPr>
                <w:rFonts w:hint="default" w:ascii="Times New Roman" w:eastAsia="仿宋_GB2312"/>
                <w:sz w:val="20"/>
                <w:lang w:val="en-US" w:eastAsia="zh-CN"/>
              </w:rPr>
            </w:pPr>
            <w:r>
              <w:rPr>
                <w:rFonts w:hint="eastAsia" w:ascii="Times New Roman"/>
                <w:sz w:val="20"/>
                <w:lang w:val="en-US" w:eastAsia="zh-CN"/>
              </w:rPr>
              <w:t>10</w:t>
            </w:r>
          </w:p>
        </w:tc>
        <w:tc>
          <w:tcPr>
            <w:tcW w:w="1963" w:type="dxa"/>
            <w:vMerge w:val="restart"/>
            <w:vAlign w:val="center"/>
          </w:tcPr>
          <w:p>
            <w:pPr>
              <w:pStyle w:val="13"/>
              <w:jc w:val="center"/>
              <w:rPr>
                <w:rFonts w:ascii="方正小标宋简体"/>
                <w:sz w:val="20"/>
              </w:rPr>
            </w:pPr>
          </w:p>
          <w:p>
            <w:pPr>
              <w:pStyle w:val="13"/>
              <w:jc w:val="center"/>
              <w:rPr>
                <w:rFonts w:ascii="方正小标宋简体"/>
                <w:sz w:val="20"/>
              </w:rPr>
            </w:pPr>
          </w:p>
          <w:p>
            <w:pPr>
              <w:pStyle w:val="13"/>
              <w:jc w:val="center"/>
              <w:rPr>
                <w:rFonts w:ascii="方正小标宋简体"/>
                <w:sz w:val="20"/>
              </w:rPr>
            </w:pPr>
          </w:p>
          <w:p>
            <w:pPr>
              <w:pStyle w:val="13"/>
              <w:jc w:val="center"/>
              <w:rPr>
                <w:rFonts w:ascii="方正小标宋简体"/>
                <w:sz w:val="20"/>
              </w:rPr>
            </w:pPr>
          </w:p>
          <w:p>
            <w:pPr>
              <w:pStyle w:val="13"/>
              <w:spacing w:before="5"/>
              <w:jc w:val="center"/>
              <w:rPr>
                <w:rFonts w:ascii="方正小标宋简体"/>
                <w:sz w:val="25"/>
              </w:rPr>
            </w:pPr>
          </w:p>
          <w:p>
            <w:pPr>
              <w:pStyle w:val="13"/>
              <w:spacing w:line="216" w:lineRule="auto"/>
              <w:ind w:left="560" w:right="235" w:hanging="315"/>
              <w:jc w:val="center"/>
              <w:rPr>
                <w:sz w:val="21"/>
              </w:rPr>
            </w:pPr>
            <w:r>
              <w:rPr>
                <w:sz w:val="21"/>
              </w:rPr>
              <w:t>可根据项目实际情况设置</w:t>
            </w:r>
          </w:p>
        </w:tc>
        <w:tc>
          <w:tcPr>
            <w:tcW w:w="556" w:type="dxa"/>
            <w:vAlign w:val="center"/>
          </w:tcPr>
          <w:p>
            <w:pPr>
              <w:pStyle w:val="13"/>
              <w:jc w:val="center"/>
              <w:rPr>
                <w:rFonts w:hint="default" w:ascii="Times New Roman" w:eastAsia="仿宋_GB2312"/>
                <w:sz w:val="20"/>
                <w:lang w:val="en-US" w:eastAsia="zh-CN"/>
              </w:rPr>
            </w:pPr>
            <w:r>
              <w:rPr>
                <w:rFonts w:hint="eastAsia" w:ascii="Times New Roman"/>
                <w:sz w:val="20"/>
                <w:lang w:val="en-US" w:eastAsia="zh-CN"/>
              </w:rPr>
              <w:t>3</w:t>
            </w:r>
          </w:p>
        </w:tc>
        <w:tc>
          <w:tcPr>
            <w:tcW w:w="2996" w:type="dxa"/>
            <w:vAlign w:val="center"/>
          </w:tcPr>
          <w:p>
            <w:pPr>
              <w:widowControl/>
              <w:spacing w:line="240" w:lineRule="exact"/>
              <w:ind w:left="0" w:leftChars="0" w:right="0" w:rightChars="0"/>
              <w:jc w:val="left"/>
              <w:rPr>
                <w:rFonts w:hint="eastAsia" w:ascii="宋体" w:hAnsi="宋体" w:cs="宋体"/>
                <w:color w:val="000000"/>
                <w:kern w:val="0"/>
                <w:sz w:val="18"/>
                <w:szCs w:val="18"/>
              </w:rPr>
            </w:pPr>
            <w:r>
              <w:rPr>
                <w:rFonts w:hint="eastAsia" w:ascii="宋体" w:hAnsi="宋体" w:cs="宋体"/>
                <w:color w:val="000000"/>
                <w:kern w:val="0"/>
                <w:sz w:val="18"/>
                <w:szCs w:val="18"/>
                <w:lang w:eastAsia="zh-CN"/>
              </w:rPr>
              <w:t>基层团组织工作考核完成率</w:t>
            </w:r>
            <w:r>
              <w:rPr>
                <w:rFonts w:hint="eastAsia" w:ascii="宋体" w:hAnsi="宋体" w:cs="宋体"/>
                <w:color w:val="000000"/>
                <w:kern w:val="0"/>
                <w:sz w:val="18"/>
                <w:szCs w:val="18"/>
                <w:lang w:val="en-US" w:eastAsia="zh-CN"/>
              </w:rPr>
              <w:t>100%</w:t>
            </w:r>
          </w:p>
        </w:tc>
        <w:tc>
          <w:tcPr>
            <w:tcW w:w="675" w:type="dxa"/>
            <w:vAlign w:val="center"/>
          </w:tcPr>
          <w:p>
            <w:pPr>
              <w:pStyle w:val="13"/>
              <w:ind w:left="0" w:leftChars="0" w:right="0" w:rightChars="0"/>
              <w:jc w:val="center"/>
              <w:rPr>
                <w:rFonts w:hint="default" w:ascii="Times New Roman"/>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972" w:type="dxa"/>
            <w:vMerge w:val="continue"/>
          </w:tcPr>
          <w:p>
            <w:pPr>
              <w:pStyle w:val="13"/>
              <w:spacing w:line="263" w:lineRule="exact"/>
              <w:ind w:left="44" w:right="37"/>
              <w:jc w:val="center"/>
              <w:rPr>
                <w:sz w:val="21"/>
              </w:rPr>
            </w:pPr>
          </w:p>
        </w:tc>
        <w:tc>
          <w:tcPr>
            <w:tcW w:w="1218" w:type="dxa"/>
            <w:gridSpan w:val="2"/>
            <w:vMerge w:val="continue"/>
          </w:tcPr>
          <w:p>
            <w:pPr>
              <w:pStyle w:val="13"/>
              <w:spacing w:before="124"/>
              <w:ind w:left="188"/>
              <w:rPr>
                <w:sz w:val="21"/>
              </w:rPr>
            </w:pPr>
          </w:p>
        </w:tc>
        <w:tc>
          <w:tcPr>
            <w:tcW w:w="596" w:type="dxa"/>
            <w:vMerge w:val="continue"/>
            <w:vAlign w:val="center"/>
          </w:tcPr>
          <w:p>
            <w:pPr>
              <w:pStyle w:val="13"/>
              <w:jc w:val="center"/>
              <w:rPr>
                <w:rFonts w:hint="eastAsia" w:ascii="Times New Roman"/>
                <w:sz w:val="20"/>
                <w:lang w:val="en-US" w:eastAsia="zh-CN"/>
              </w:rPr>
            </w:pPr>
          </w:p>
        </w:tc>
        <w:tc>
          <w:tcPr>
            <w:tcW w:w="1963" w:type="dxa"/>
            <w:vMerge w:val="continue"/>
            <w:vAlign w:val="center"/>
          </w:tcPr>
          <w:p>
            <w:pPr>
              <w:pStyle w:val="13"/>
              <w:spacing w:line="216" w:lineRule="auto"/>
              <w:ind w:left="560" w:right="235" w:hanging="315"/>
              <w:jc w:val="center"/>
              <w:rPr>
                <w:sz w:val="21"/>
              </w:rPr>
            </w:pPr>
          </w:p>
        </w:tc>
        <w:tc>
          <w:tcPr>
            <w:tcW w:w="556" w:type="dxa"/>
            <w:vAlign w:val="center"/>
          </w:tcPr>
          <w:p>
            <w:pPr>
              <w:pStyle w:val="13"/>
              <w:jc w:val="center"/>
              <w:rPr>
                <w:rFonts w:hint="default" w:ascii="Times New Roman"/>
                <w:sz w:val="20"/>
                <w:lang w:val="en-US" w:eastAsia="zh-CN"/>
              </w:rPr>
            </w:pPr>
            <w:r>
              <w:rPr>
                <w:rFonts w:hint="eastAsia" w:ascii="Times New Roman"/>
                <w:sz w:val="20"/>
                <w:lang w:val="en-US" w:eastAsia="zh-CN"/>
              </w:rPr>
              <w:t>3</w:t>
            </w:r>
          </w:p>
        </w:tc>
        <w:tc>
          <w:tcPr>
            <w:tcW w:w="2996" w:type="dxa"/>
            <w:vAlign w:val="center"/>
          </w:tcPr>
          <w:p>
            <w:pPr>
              <w:widowControl/>
              <w:spacing w:line="240" w:lineRule="exact"/>
              <w:ind w:left="0" w:leftChars="0" w:right="0" w:rightChars="0"/>
              <w:jc w:val="lef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开展庆祝建党100周年主题活动</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3场</w:t>
            </w:r>
          </w:p>
        </w:tc>
        <w:tc>
          <w:tcPr>
            <w:tcW w:w="675" w:type="dxa"/>
            <w:vAlign w:val="center"/>
          </w:tcPr>
          <w:p>
            <w:pPr>
              <w:pStyle w:val="13"/>
              <w:ind w:left="0" w:leftChars="0" w:right="0" w:rightChars="0"/>
              <w:jc w:val="center"/>
              <w:rPr>
                <w:rFonts w:hint="default" w:ascii="Times New Roman"/>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72" w:type="dxa"/>
            <w:vMerge w:val="continue"/>
          </w:tcPr>
          <w:p>
            <w:pPr>
              <w:pStyle w:val="13"/>
              <w:spacing w:line="263" w:lineRule="exact"/>
              <w:ind w:left="44" w:right="37"/>
              <w:jc w:val="center"/>
              <w:rPr>
                <w:sz w:val="21"/>
              </w:rPr>
            </w:pPr>
          </w:p>
        </w:tc>
        <w:tc>
          <w:tcPr>
            <w:tcW w:w="1218" w:type="dxa"/>
            <w:gridSpan w:val="2"/>
            <w:vMerge w:val="continue"/>
          </w:tcPr>
          <w:p>
            <w:pPr>
              <w:pStyle w:val="13"/>
              <w:spacing w:before="124"/>
              <w:ind w:left="188"/>
              <w:rPr>
                <w:sz w:val="21"/>
              </w:rPr>
            </w:pPr>
          </w:p>
        </w:tc>
        <w:tc>
          <w:tcPr>
            <w:tcW w:w="596" w:type="dxa"/>
            <w:vMerge w:val="continue"/>
            <w:vAlign w:val="center"/>
          </w:tcPr>
          <w:p>
            <w:pPr>
              <w:pStyle w:val="13"/>
              <w:jc w:val="center"/>
              <w:rPr>
                <w:rFonts w:hint="eastAsia" w:ascii="Times New Roman"/>
                <w:sz w:val="20"/>
                <w:lang w:val="en-US" w:eastAsia="zh-CN"/>
              </w:rPr>
            </w:pPr>
          </w:p>
        </w:tc>
        <w:tc>
          <w:tcPr>
            <w:tcW w:w="1963" w:type="dxa"/>
            <w:vMerge w:val="continue"/>
            <w:vAlign w:val="center"/>
          </w:tcPr>
          <w:p>
            <w:pPr>
              <w:pStyle w:val="13"/>
              <w:spacing w:line="216" w:lineRule="auto"/>
              <w:ind w:left="560" w:right="235" w:hanging="315"/>
              <w:jc w:val="center"/>
              <w:rPr>
                <w:sz w:val="21"/>
              </w:rPr>
            </w:pPr>
          </w:p>
        </w:tc>
        <w:tc>
          <w:tcPr>
            <w:tcW w:w="556" w:type="dxa"/>
            <w:vAlign w:val="center"/>
          </w:tcPr>
          <w:p>
            <w:pPr>
              <w:pStyle w:val="13"/>
              <w:jc w:val="center"/>
              <w:rPr>
                <w:rFonts w:hint="default" w:ascii="Times New Roman"/>
                <w:sz w:val="20"/>
                <w:lang w:val="en-US" w:eastAsia="zh-CN"/>
              </w:rPr>
            </w:pPr>
            <w:r>
              <w:rPr>
                <w:rFonts w:hint="eastAsia" w:ascii="Times New Roman"/>
                <w:sz w:val="20"/>
                <w:lang w:val="en-US" w:eastAsia="zh-CN"/>
              </w:rPr>
              <w:t>4</w:t>
            </w:r>
          </w:p>
        </w:tc>
        <w:tc>
          <w:tcPr>
            <w:tcW w:w="2996" w:type="dxa"/>
            <w:vAlign w:val="center"/>
          </w:tcPr>
          <w:p>
            <w:pPr>
              <w:widowControl/>
              <w:spacing w:line="240" w:lineRule="exact"/>
              <w:ind w:left="0" w:leftChars="0" w:right="0" w:rightChars="0"/>
              <w:jc w:val="lef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东青品牌项目活动开展数量</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5场</w:t>
            </w:r>
          </w:p>
        </w:tc>
        <w:tc>
          <w:tcPr>
            <w:tcW w:w="675" w:type="dxa"/>
            <w:vAlign w:val="center"/>
          </w:tcPr>
          <w:p>
            <w:pPr>
              <w:pStyle w:val="13"/>
              <w:ind w:left="0" w:leftChars="0" w:right="0" w:rightChars="0"/>
              <w:jc w:val="center"/>
              <w:rPr>
                <w:rFonts w:hint="default" w:ascii="Times New Roman"/>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972" w:type="dxa"/>
            <w:vMerge w:val="continue"/>
            <w:tcBorders>
              <w:top w:val="nil"/>
            </w:tcBorders>
          </w:tcPr>
          <w:p>
            <w:pPr>
              <w:rPr>
                <w:sz w:val="2"/>
                <w:szCs w:val="2"/>
              </w:rPr>
            </w:pPr>
          </w:p>
        </w:tc>
        <w:tc>
          <w:tcPr>
            <w:tcW w:w="1218" w:type="dxa"/>
            <w:gridSpan w:val="2"/>
            <w:vMerge w:val="restart"/>
          </w:tcPr>
          <w:p>
            <w:pPr>
              <w:pStyle w:val="13"/>
              <w:spacing w:before="124"/>
              <w:ind w:left="188"/>
              <w:rPr>
                <w:sz w:val="21"/>
              </w:rPr>
            </w:pPr>
            <w:r>
              <w:rPr>
                <w:sz w:val="21"/>
              </w:rPr>
              <w:t>产出质量</w:t>
            </w:r>
          </w:p>
        </w:tc>
        <w:tc>
          <w:tcPr>
            <w:tcW w:w="596" w:type="dxa"/>
            <w:vMerge w:val="restart"/>
            <w:vAlign w:val="center"/>
          </w:tcPr>
          <w:p>
            <w:pPr>
              <w:pStyle w:val="13"/>
              <w:jc w:val="center"/>
              <w:rPr>
                <w:rFonts w:hint="default" w:ascii="Times New Roman" w:eastAsia="仿宋_GB2312"/>
                <w:sz w:val="20"/>
                <w:lang w:val="en-US" w:eastAsia="zh-CN"/>
              </w:rPr>
            </w:pPr>
            <w:r>
              <w:rPr>
                <w:rFonts w:hint="eastAsia" w:ascii="Times New Roman"/>
                <w:sz w:val="20"/>
                <w:lang w:val="en-US" w:eastAsia="zh-CN"/>
              </w:rPr>
              <w:t>10</w:t>
            </w:r>
          </w:p>
        </w:tc>
        <w:tc>
          <w:tcPr>
            <w:tcW w:w="1963" w:type="dxa"/>
            <w:vMerge w:val="continue"/>
            <w:tcBorders>
              <w:top w:val="nil"/>
            </w:tcBorders>
            <w:vAlign w:val="center"/>
          </w:tcPr>
          <w:p>
            <w:pPr>
              <w:jc w:val="center"/>
              <w:rPr>
                <w:sz w:val="2"/>
                <w:szCs w:val="2"/>
              </w:rPr>
            </w:pPr>
          </w:p>
        </w:tc>
        <w:tc>
          <w:tcPr>
            <w:tcW w:w="556" w:type="dxa"/>
            <w:vAlign w:val="center"/>
          </w:tcPr>
          <w:p>
            <w:pPr>
              <w:pStyle w:val="13"/>
              <w:ind w:left="0" w:leftChars="0" w:right="0" w:rightChars="0"/>
              <w:jc w:val="center"/>
              <w:rPr>
                <w:rFonts w:hint="default" w:ascii="Times New Roman" w:hAnsi="仿宋_GB2312" w:eastAsia="仿宋_GB2312" w:cs="仿宋_GB2312"/>
                <w:sz w:val="20"/>
                <w:szCs w:val="22"/>
                <w:lang w:val="en-US" w:eastAsia="zh-CN" w:bidi="ar-SA"/>
              </w:rPr>
            </w:pPr>
            <w:r>
              <w:rPr>
                <w:rFonts w:hint="eastAsia" w:ascii="Times New Roman"/>
                <w:sz w:val="20"/>
                <w:lang w:val="en-US" w:eastAsia="zh-CN"/>
              </w:rPr>
              <w:t>3</w:t>
            </w:r>
          </w:p>
        </w:tc>
        <w:tc>
          <w:tcPr>
            <w:tcW w:w="2996" w:type="dxa"/>
            <w:vAlign w:val="center"/>
          </w:tcPr>
          <w:p>
            <w:pPr>
              <w:widowControl/>
              <w:spacing w:line="240" w:lineRule="exact"/>
              <w:ind w:left="0" w:leftChars="0" w:right="0" w:rightChars="0"/>
              <w:jc w:val="left"/>
              <w:rPr>
                <w:rFonts w:hint="default" w:ascii="宋体" w:hAnsi="宋体" w:cs="宋体"/>
                <w:color w:val="000000"/>
                <w:kern w:val="0"/>
                <w:sz w:val="18"/>
                <w:szCs w:val="18"/>
                <w:lang w:val="en-US" w:eastAsia="en-US"/>
              </w:rPr>
            </w:pPr>
            <w:r>
              <w:rPr>
                <w:rFonts w:hint="eastAsia" w:ascii="宋体" w:hAnsi="宋体" w:cs="宋体"/>
                <w:color w:val="000000"/>
                <w:kern w:val="0"/>
                <w:sz w:val="18"/>
                <w:szCs w:val="18"/>
                <w:lang w:eastAsia="zh-CN"/>
              </w:rPr>
              <w:t>基层团组织工作考核合格率</w:t>
            </w:r>
            <w:r>
              <w:rPr>
                <w:rFonts w:hint="eastAsia" w:ascii="宋体" w:hAnsi="宋体" w:cs="宋体"/>
                <w:color w:val="000000"/>
                <w:kern w:val="0"/>
                <w:sz w:val="18"/>
                <w:szCs w:val="18"/>
                <w:lang w:val="en-US" w:eastAsia="zh-CN"/>
              </w:rPr>
              <w:t>100%</w:t>
            </w:r>
          </w:p>
        </w:tc>
        <w:tc>
          <w:tcPr>
            <w:tcW w:w="675" w:type="dxa"/>
            <w:vAlign w:val="center"/>
          </w:tcPr>
          <w:p>
            <w:pPr>
              <w:pStyle w:val="13"/>
              <w:ind w:left="0" w:leftChars="0" w:right="0" w:rightChars="0"/>
              <w:jc w:val="center"/>
              <w:rPr>
                <w:rFonts w:hint="default" w:ascii="Times New Roman"/>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72" w:type="dxa"/>
            <w:vMerge w:val="continue"/>
            <w:tcBorders>
              <w:top w:val="nil"/>
            </w:tcBorders>
          </w:tcPr>
          <w:p>
            <w:pPr>
              <w:rPr>
                <w:sz w:val="2"/>
                <w:szCs w:val="2"/>
              </w:rPr>
            </w:pPr>
          </w:p>
        </w:tc>
        <w:tc>
          <w:tcPr>
            <w:tcW w:w="1218" w:type="dxa"/>
            <w:gridSpan w:val="2"/>
            <w:vMerge w:val="continue"/>
          </w:tcPr>
          <w:p>
            <w:pPr>
              <w:pStyle w:val="13"/>
              <w:spacing w:before="124"/>
              <w:ind w:left="188"/>
              <w:rPr>
                <w:sz w:val="21"/>
              </w:rPr>
            </w:pPr>
          </w:p>
        </w:tc>
        <w:tc>
          <w:tcPr>
            <w:tcW w:w="596" w:type="dxa"/>
            <w:vMerge w:val="continue"/>
            <w:vAlign w:val="center"/>
          </w:tcPr>
          <w:p>
            <w:pPr>
              <w:pStyle w:val="13"/>
              <w:jc w:val="center"/>
              <w:rPr>
                <w:rFonts w:hint="eastAsia" w:ascii="Times New Roman"/>
                <w:sz w:val="20"/>
                <w:lang w:val="en-US" w:eastAsia="zh-CN"/>
              </w:rPr>
            </w:pPr>
          </w:p>
        </w:tc>
        <w:tc>
          <w:tcPr>
            <w:tcW w:w="1963" w:type="dxa"/>
            <w:vMerge w:val="continue"/>
            <w:tcBorders>
              <w:top w:val="nil"/>
            </w:tcBorders>
            <w:vAlign w:val="center"/>
          </w:tcPr>
          <w:p>
            <w:pPr>
              <w:jc w:val="center"/>
              <w:rPr>
                <w:sz w:val="2"/>
                <w:szCs w:val="2"/>
              </w:rPr>
            </w:pPr>
          </w:p>
        </w:tc>
        <w:tc>
          <w:tcPr>
            <w:tcW w:w="556" w:type="dxa"/>
            <w:vAlign w:val="center"/>
          </w:tcPr>
          <w:p>
            <w:pPr>
              <w:pStyle w:val="13"/>
              <w:ind w:left="0" w:leftChars="0" w:right="0" w:rightChars="0"/>
              <w:jc w:val="center"/>
              <w:rPr>
                <w:rFonts w:hint="eastAsia" w:ascii="Times New Roman" w:hAnsi="仿宋_GB2312" w:eastAsia="仿宋_GB2312" w:cs="仿宋_GB2312"/>
                <w:sz w:val="20"/>
                <w:szCs w:val="22"/>
                <w:lang w:val="en-US" w:eastAsia="zh-CN" w:bidi="ar-SA"/>
              </w:rPr>
            </w:pPr>
            <w:r>
              <w:rPr>
                <w:rFonts w:hint="eastAsia" w:ascii="Times New Roman"/>
                <w:sz w:val="20"/>
                <w:lang w:val="en-US" w:eastAsia="zh-CN"/>
              </w:rPr>
              <w:t>3</w:t>
            </w:r>
          </w:p>
        </w:tc>
        <w:tc>
          <w:tcPr>
            <w:tcW w:w="2996" w:type="dxa"/>
            <w:vAlign w:val="center"/>
          </w:tcPr>
          <w:p>
            <w:pPr>
              <w:widowControl/>
              <w:spacing w:line="240" w:lineRule="exact"/>
              <w:ind w:left="0" w:leftChars="0" w:right="0" w:rightChars="0"/>
              <w:jc w:val="left"/>
              <w:rPr>
                <w:rFonts w:hint="default" w:ascii="宋体" w:hAnsi="宋体" w:cs="宋体"/>
                <w:color w:val="000000"/>
                <w:kern w:val="0"/>
                <w:sz w:val="18"/>
                <w:szCs w:val="18"/>
                <w:lang w:val="en-US" w:eastAsia="en-US"/>
              </w:rPr>
            </w:pPr>
            <w:r>
              <w:rPr>
                <w:rFonts w:hint="eastAsia" w:ascii="宋体" w:hAnsi="宋体" w:cs="宋体"/>
                <w:color w:val="000000"/>
                <w:kern w:val="0"/>
                <w:sz w:val="18"/>
                <w:szCs w:val="18"/>
                <w:lang w:val="en-US" w:eastAsia="zh-CN"/>
              </w:rPr>
              <w:t>庆祝建党100周年主题活动符合度100%</w:t>
            </w:r>
          </w:p>
        </w:tc>
        <w:tc>
          <w:tcPr>
            <w:tcW w:w="675" w:type="dxa"/>
            <w:vAlign w:val="center"/>
          </w:tcPr>
          <w:p>
            <w:pPr>
              <w:pStyle w:val="13"/>
              <w:ind w:left="0" w:leftChars="0" w:right="0" w:rightChars="0"/>
              <w:jc w:val="center"/>
              <w:rPr>
                <w:rFonts w:hint="eastAsia" w:ascii="Times New Roman"/>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972" w:type="dxa"/>
            <w:vMerge w:val="continue"/>
            <w:tcBorders>
              <w:top w:val="nil"/>
            </w:tcBorders>
          </w:tcPr>
          <w:p>
            <w:pPr>
              <w:rPr>
                <w:sz w:val="2"/>
                <w:szCs w:val="2"/>
              </w:rPr>
            </w:pPr>
          </w:p>
        </w:tc>
        <w:tc>
          <w:tcPr>
            <w:tcW w:w="1218" w:type="dxa"/>
            <w:gridSpan w:val="2"/>
            <w:vMerge w:val="continue"/>
          </w:tcPr>
          <w:p>
            <w:pPr>
              <w:pStyle w:val="13"/>
              <w:spacing w:before="124"/>
              <w:ind w:left="188"/>
              <w:rPr>
                <w:sz w:val="21"/>
              </w:rPr>
            </w:pPr>
          </w:p>
        </w:tc>
        <w:tc>
          <w:tcPr>
            <w:tcW w:w="596" w:type="dxa"/>
            <w:vMerge w:val="continue"/>
            <w:vAlign w:val="center"/>
          </w:tcPr>
          <w:p>
            <w:pPr>
              <w:pStyle w:val="13"/>
              <w:jc w:val="center"/>
              <w:rPr>
                <w:rFonts w:hint="eastAsia" w:ascii="Times New Roman"/>
                <w:sz w:val="20"/>
                <w:lang w:val="en-US" w:eastAsia="zh-CN"/>
              </w:rPr>
            </w:pPr>
          </w:p>
        </w:tc>
        <w:tc>
          <w:tcPr>
            <w:tcW w:w="1963" w:type="dxa"/>
            <w:vMerge w:val="continue"/>
            <w:tcBorders>
              <w:top w:val="nil"/>
            </w:tcBorders>
            <w:vAlign w:val="center"/>
          </w:tcPr>
          <w:p>
            <w:pPr>
              <w:jc w:val="center"/>
              <w:rPr>
                <w:sz w:val="2"/>
                <w:szCs w:val="2"/>
              </w:rPr>
            </w:pPr>
          </w:p>
        </w:tc>
        <w:tc>
          <w:tcPr>
            <w:tcW w:w="556" w:type="dxa"/>
            <w:vAlign w:val="center"/>
          </w:tcPr>
          <w:p>
            <w:pPr>
              <w:pStyle w:val="13"/>
              <w:ind w:left="0" w:leftChars="0" w:right="0" w:rightChars="0"/>
              <w:jc w:val="center"/>
              <w:rPr>
                <w:rFonts w:hint="eastAsia" w:ascii="Times New Roman" w:hAnsi="仿宋_GB2312" w:eastAsia="仿宋_GB2312" w:cs="仿宋_GB2312"/>
                <w:sz w:val="20"/>
                <w:szCs w:val="22"/>
                <w:lang w:val="en-US" w:eastAsia="zh-CN" w:bidi="ar-SA"/>
              </w:rPr>
            </w:pPr>
            <w:r>
              <w:rPr>
                <w:rFonts w:hint="eastAsia" w:ascii="Times New Roman"/>
                <w:sz w:val="20"/>
                <w:lang w:val="en-US" w:eastAsia="zh-CN"/>
              </w:rPr>
              <w:t>4</w:t>
            </w:r>
          </w:p>
        </w:tc>
        <w:tc>
          <w:tcPr>
            <w:tcW w:w="2996" w:type="dxa"/>
            <w:vAlign w:val="center"/>
          </w:tcPr>
          <w:p>
            <w:pPr>
              <w:widowControl/>
              <w:spacing w:line="240" w:lineRule="exact"/>
              <w:ind w:left="0" w:leftChars="0" w:right="0" w:rightChars="0"/>
              <w:jc w:val="left"/>
              <w:rPr>
                <w:rFonts w:hint="default" w:ascii="宋体" w:hAnsi="宋体" w:cs="宋体"/>
                <w:color w:val="000000"/>
                <w:kern w:val="0"/>
                <w:sz w:val="18"/>
                <w:szCs w:val="18"/>
                <w:lang w:val="en-US" w:eastAsia="en-US"/>
              </w:rPr>
            </w:pPr>
            <w:r>
              <w:rPr>
                <w:rFonts w:hint="eastAsia" w:ascii="宋体" w:hAnsi="宋体" w:cs="宋体"/>
                <w:color w:val="000000"/>
                <w:kern w:val="0"/>
                <w:sz w:val="18"/>
                <w:szCs w:val="18"/>
                <w:lang w:val="en-US" w:eastAsia="zh-CN"/>
              </w:rPr>
              <w:t>品牌项目活动覆盖率100%</w:t>
            </w:r>
          </w:p>
        </w:tc>
        <w:tc>
          <w:tcPr>
            <w:tcW w:w="675" w:type="dxa"/>
            <w:vAlign w:val="center"/>
          </w:tcPr>
          <w:p>
            <w:pPr>
              <w:pStyle w:val="13"/>
              <w:ind w:left="0" w:leftChars="0" w:right="0" w:rightChars="0"/>
              <w:jc w:val="center"/>
              <w:rPr>
                <w:rFonts w:hint="eastAsia" w:ascii="Times New Roman"/>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972" w:type="dxa"/>
            <w:vMerge w:val="continue"/>
            <w:tcBorders>
              <w:top w:val="nil"/>
            </w:tcBorders>
          </w:tcPr>
          <w:p>
            <w:pPr>
              <w:rPr>
                <w:sz w:val="2"/>
                <w:szCs w:val="2"/>
              </w:rPr>
            </w:pPr>
          </w:p>
        </w:tc>
        <w:tc>
          <w:tcPr>
            <w:tcW w:w="1218" w:type="dxa"/>
            <w:gridSpan w:val="2"/>
          </w:tcPr>
          <w:p>
            <w:pPr>
              <w:pStyle w:val="13"/>
              <w:spacing w:before="123"/>
              <w:ind w:left="188"/>
              <w:rPr>
                <w:sz w:val="21"/>
              </w:rPr>
            </w:pPr>
            <w:r>
              <w:rPr>
                <w:sz w:val="21"/>
              </w:rPr>
              <w:t>产出时效</w:t>
            </w:r>
          </w:p>
        </w:tc>
        <w:tc>
          <w:tcPr>
            <w:tcW w:w="596" w:type="dxa"/>
            <w:vAlign w:val="center"/>
          </w:tcPr>
          <w:p>
            <w:pPr>
              <w:pStyle w:val="13"/>
              <w:jc w:val="center"/>
              <w:rPr>
                <w:rFonts w:hint="default" w:ascii="Times New Roman" w:eastAsia="仿宋_GB2312"/>
                <w:sz w:val="20"/>
                <w:lang w:val="en-US" w:eastAsia="zh-CN"/>
              </w:rPr>
            </w:pPr>
            <w:r>
              <w:rPr>
                <w:rFonts w:hint="eastAsia" w:ascii="Times New Roman"/>
                <w:sz w:val="20"/>
                <w:lang w:val="en-US" w:eastAsia="zh-CN"/>
              </w:rPr>
              <w:t>10</w:t>
            </w:r>
          </w:p>
        </w:tc>
        <w:tc>
          <w:tcPr>
            <w:tcW w:w="1963" w:type="dxa"/>
            <w:vMerge w:val="continue"/>
            <w:tcBorders>
              <w:top w:val="nil"/>
            </w:tcBorders>
            <w:vAlign w:val="center"/>
          </w:tcPr>
          <w:p>
            <w:pPr>
              <w:jc w:val="center"/>
              <w:rPr>
                <w:sz w:val="2"/>
                <w:szCs w:val="2"/>
              </w:rPr>
            </w:pPr>
          </w:p>
        </w:tc>
        <w:tc>
          <w:tcPr>
            <w:tcW w:w="556" w:type="dxa"/>
            <w:vAlign w:val="center"/>
          </w:tcPr>
          <w:p>
            <w:pPr>
              <w:pStyle w:val="13"/>
              <w:jc w:val="center"/>
              <w:rPr>
                <w:rFonts w:hint="default" w:ascii="Times New Roman" w:eastAsia="仿宋_GB2312"/>
                <w:sz w:val="20"/>
                <w:lang w:val="en-US" w:eastAsia="zh-CN"/>
              </w:rPr>
            </w:pPr>
            <w:r>
              <w:rPr>
                <w:rFonts w:hint="eastAsia" w:ascii="Times New Roman"/>
                <w:sz w:val="20"/>
                <w:lang w:val="en-US" w:eastAsia="zh-CN"/>
              </w:rPr>
              <w:t>10</w:t>
            </w:r>
          </w:p>
        </w:tc>
        <w:tc>
          <w:tcPr>
            <w:tcW w:w="2996" w:type="dxa"/>
            <w:vAlign w:val="center"/>
          </w:tcPr>
          <w:p>
            <w:pPr>
              <w:widowControl/>
              <w:spacing w:line="240" w:lineRule="exact"/>
              <w:ind w:left="0" w:leftChars="0" w:right="0" w:rightChars="0"/>
              <w:jc w:val="left"/>
              <w:rPr>
                <w:rFonts w:hint="eastAsia" w:ascii="宋体" w:hAnsi="宋体" w:cs="宋体"/>
                <w:color w:val="000000"/>
                <w:kern w:val="0"/>
                <w:sz w:val="18"/>
                <w:szCs w:val="18"/>
                <w:lang w:val="en-US" w:eastAsia="en-US"/>
              </w:rPr>
            </w:pPr>
            <w:r>
              <w:rPr>
                <w:rFonts w:hint="eastAsia" w:ascii="宋体" w:hAnsi="宋体" w:cs="宋体"/>
                <w:color w:val="000000"/>
                <w:kern w:val="0"/>
                <w:sz w:val="18"/>
                <w:szCs w:val="18"/>
              </w:rPr>
              <w:t>宣传活动按时完成率</w:t>
            </w:r>
            <w:r>
              <w:rPr>
                <w:rFonts w:hint="eastAsia" w:ascii="宋体" w:hAnsi="宋体" w:cs="宋体"/>
                <w:color w:val="000000"/>
                <w:kern w:val="0"/>
                <w:sz w:val="18"/>
                <w:szCs w:val="18"/>
                <w:lang w:val="en-US" w:eastAsia="zh-CN"/>
              </w:rPr>
              <w:t>100%</w:t>
            </w:r>
          </w:p>
        </w:tc>
        <w:tc>
          <w:tcPr>
            <w:tcW w:w="675" w:type="dxa"/>
            <w:vAlign w:val="center"/>
          </w:tcPr>
          <w:p>
            <w:pPr>
              <w:pStyle w:val="13"/>
              <w:ind w:left="0" w:leftChars="0" w:right="0" w:rightChars="0"/>
              <w:jc w:val="center"/>
              <w:rPr>
                <w:rFonts w:hint="default" w:ascii="Times New Roman"/>
                <w:sz w:val="20"/>
                <w:lang w:val="en-US" w:eastAsia="zh-CN"/>
              </w:rPr>
            </w:pPr>
            <w:r>
              <w:rPr>
                <w:rFonts w:hint="eastAsia" w:ascii="Times New Roman"/>
                <w:sz w:val="20"/>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972" w:type="dxa"/>
            <w:vMerge w:val="continue"/>
            <w:tcBorders>
              <w:top w:val="nil"/>
            </w:tcBorders>
          </w:tcPr>
          <w:p>
            <w:pPr>
              <w:rPr>
                <w:sz w:val="2"/>
                <w:szCs w:val="2"/>
              </w:rPr>
            </w:pPr>
          </w:p>
        </w:tc>
        <w:tc>
          <w:tcPr>
            <w:tcW w:w="1218" w:type="dxa"/>
            <w:gridSpan w:val="2"/>
          </w:tcPr>
          <w:p>
            <w:pPr>
              <w:pStyle w:val="13"/>
              <w:spacing w:before="123"/>
              <w:ind w:left="188"/>
              <w:rPr>
                <w:sz w:val="21"/>
              </w:rPr>
            </w:pPr>
            <w:r>
              <w:rPr>
                <w:sz w:val="21"/>
              </w:rPr>
              <w:t>产出成本</w:t>
            </w:r>
          </w:p>
        </w:tc>
        <w:tc>
          <w:tcPr>
            <w:tcW w:w="596" w:type="dxa"/>
            <w:vAlign w:val="center"/>
          </w:tcPr>
          <w:p>
            <w:pPr>
              <w:pStyle w:val="13"/>
              <w:jc w:val="center"/>
              <w:rPr>
                <w:rFonts w:hint="eastAsia" w:ascii="Times New Roman" w:eastAsia="仿宋_GB2312"/>
                <w:sz w:val="20"/>
                <w:lang w:val="en-US" w:eastAsia="zh-CN"/>
              </w:rPr>
            </w:pPr>
            <w:r>
              <w:rPr>
                <w:rFonts w:hint="eastAsia" w:ascii="Times New Roman"/>
                <w:sz w:val="20"/>
                <w:lang w:val="en-US" w:eastAsia="zh-CN"/>
              </w:rPr>
              <w:t>5</w:t>
            </w:r>
          </w:p>
        </w:tc>
        <w:tc>
          <w:tcPr>
            <w:tcW w:w="1963" w:type="dxa"/>
            <w:vMerge w:val="continue"/>
            <w:tcBorders>
              <w:top w:val="nil"/>
            </w:tcBorders>
            <w:vAlign w:val="center"/>
          </w:tcPr>
          <w:p>
            <w:pPr>
              <w:jc w:val="center"/>
              <w:rPr>
                <w:sz w:val="2"/>
                <w:szCs w:val="2"/>
              </w:rPr>
            </w:pPr>
          </w:p>
        </w:tc>
        <w:tc>
          <w:tcPr>
            <w:tcW w:w="556" w:type="dxa"/>
            <w:vAlign w:val="center"/>
          </w:tcPr>
          <w:p>
            <w:pPr>
              <w:pStyle w:val="13"/>
              <w:jc w:val="center"/>
              <w:rPr>
                <w:rFonts w:hint="eastAsia" w:ascii="Times New Roman" w:eastAsia="仿宋_GB2312"/>
                <w:sz w:val="20"/>
                <w:lang w:val="en-US" w:eastAsia="zh-CN"/>
              </w:rPr>
            </w:pPr>
            <w:r>
              <w:rPr>
                <w:rFonts w:hint="eastAsia" w:ascii="Times New Roman"/>
                <w:sz w:val="20"/>
                <w:lang w:val="en-US" w:eastAsia="zh-CN"/>
              </w:rPr>
              <w:t>5</w:t>
            </w:r>
          </w:p>
        </w:tc>
        <w:tc>
          <w:tcPr>
            <w:tcW w:w="2996" w:type="dxa"/>
            <w:vAlign w:val="center"/>
          </w:tcPr>
          <w:p>
            <w:pPr>
              <w:widowControl/>
              <w:spacing w:line="240" w:lineRule="exact"/>
              <w:ind w:left="0" w:leftChars="0" w:right="0" w:rightChars="0"/>
              <w:jc w:val="lef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在预算范围内支出完成预算金额的±5%</w:t>
            </w:r>
          </w:p>
        </w:tc>
        <w:tc>
          <w:tcPr>
            <w:tcW w:w="675" w:type="dxa"/>
            <w:vAlign w:val="center"/>
          </w:tcPr>
          <w:p>
            <w:pPr>
              <w:pStyle w:val="13"/>
              <w:ind w:left="0" w:leftChars="0" w:right="0" w:rightChars="0"/>
              <w:jc w:val="center"/>
              <w:rPr>
                <w:rFonts w:hint="eastAsia" w:ascii="Times New Roman"/>
                <w:sz w:val="20"/>
                <w:lang w:val="en-US" w:eastAsia="zh-CN"/>
              </w:rPr>
            </w:pPr>
            <w:r>
              <w:rPr>
                <w:rFonts w:hint="eastAsia" w:ascii="Times New Roman"/>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972" w:type="dxa"/>
            <w:vMerge w:val="restart"/>
          </w:tcPr>
          <w:p>
            <w:pPr>
              <w:pStyle w:val="13"/>
              <w:rPr>
                <w:rFonts w:ascii="方正小标宋简体"/>
                <w:sz w:val="20"/>
              </w:rPr>
            </w:pPr>
          </w:p>
          <w:p>
            <w:pPr>
              <w:pStyle w:val="13"/>
              <w:spacing w:before="11"/>
              <w:rPr>
                <w:rFonts w:ascii="方正小标宋简体"/>
                <w:sz w:val="24"/>
              </w:rPr>
            </w:pPr>
          </w:p>
          <w:p>
            <w:pPr>
              <w:pStyle w:val="13"/>
              <w:spacing w:line="263" w:lineRule="exact"/>
              <w:ind w:left="42" w:right="37"/>
              <w:jc w:val="center"/>
              <w:rPr>
                <w:sz w:val="21"/>
              </w:rPr>
            </w:pPr>
            <w:r>
              <w:rPr>
                <w:sz w:val="21"/>
              </w:rPr>
              <w:t>效益</w:t>
            </w:r>
          </w:p>
          <w:p>
            <w:pPr>
              <w:pStyle w:val="13"/>
              <w:spacing w:line="263" w:lineRule="exact"/>
              <w:ind w:left="44" w:right="37"/>
              <w:jc w:val="center"/>
              <w:rPr>
                <w:sz w:val="21"/>
              </w:rPr>
            </w:pPr>
            <w:r>
              <w:rPr>
                <w:sz w:val="21"/>
              </w:rPr>
              <w:t>（25分）</w:t>
            </w:r>
          </w:p>
        </w:tc>
        <w:tc>
          <w:tcPr>
            <w:tcW w:w="1218" w:type="dxa"/>
            <w:gridSpan w:val="2"/>
            <w:vMerge w:val="restart"/>
            <w:vAlign w:val="center"/>
          </w:tcPr>
          <w:p>
            <w:pPr>
              <w:pStyle w:val="13"/>
              <w:spacing w:before="123"/>
              <w:ind w:left="188"/>
              <w:jc w:val="center"/>
              <w:rPr>
                <w:sz w:val="21"/>
              </w:rPr>
            </w:pPr>
            <w:r>
              <w:rPr>
                <w:sz w:val="21"/>
              </w:rPr>
              <w:t>社会效益</w:t>
            </w:r>
          </w:p>
        </w:tc>
        <w:tc>
          <w:tcPr>
            <w:tcW w:w="596" w:type="dxa"/>
            <w:vMerge w:val="restart"/>
            <w:vAlign w:val="center"/>
          </w:tcPr>
          <w:p>
            <w:pPr>
              <w:pStyle w:val="13"/>
              <w:jc w:val="center"/>
              <w:rPr>
                <w:rFonts w:hint="default" w:ascii="Times New Roman" w:eastAsia="仿宋_GB2312"/>
                <w:sz w:val="20"/>
                <w:lang w:val="en-US" w:eastAsia="zh-CN"/>
              </w:rPr>
            </w:pPr>
            <w:r>
              <w:rPr>
                <w:rFonts w:hint="eastAsia" w:ascii="Times New Roman"/>
                <w:sz w:val="20"/>
                <w:lang w:val="en-US" w:eastAsia="zh-CN"/>
              </w:rPr>
              <w:t>15</w:t>
            </w:r>
          </w:p>
        </w:tc>
        <w:tc>
          <w:tcPr>
            <w:tcW w:w="1963" w:type="dxa"/>
            <w:vMerge w:val="continue"/>
            <w:tcBorders>
              <w:top w:val="nil"/>
            </w:tcBorders>
            <w:vAlign w:val="center"/>
          </w:tcPr>
          <w:p>
            <w:pPr>
              <w:jc w:val="center"/>
              <w:rPr>
                <w:sz w:val="2"/>
                <w:szCs w:val="2"/>
              </w:rPr>
            </w:pPr>
          </w:p>
        </w:tc>
        <w:tc>
          <w:tcPr>
            <w:tcW w:w="556" w:type="dxa"/>
            <w:vAlign w:val="center"/>
          </w:tcPr>
          <w:p>
            <w:pPr>
              <w:pStyle w:val="13"/>
              <w:jc w:val="center"/>
              <w:rPr>
                <w:rFonts w:hint="default" w:ascii="Times New Roman" w:eastAsia="仿宋_GB2312"/>
                <w:sz w:val="20"/>
                <w:lang w:val="en-US" w:eastAsia="zh-CN"/>
              </w:rPr>
            </w:pPr>
            <w:r>
              <w:rPr>
                <w:rFonts w:hint="eastAsia" w:ascii="Times New Roman"/>
                <w:sz w:val="20"/>
                <w:lang w:val="en-US" w:eastAsia="zh-CN"/>
              </w:rPr>
              <w:t>5</w:t>
            </w:r>
          </w:p>
        </w:tc>
        <w:tc>
          <w:tcPr>
            <w:tcW w:w="2996" w:type="dxa"/>
            <w:vAlign w:val="center"/>
          </w:tcPr>
          <w:p>
            <w:pPr>
              <w:widowControl/>
              <w:spacing w:line="240" w:lineRule="exact"/>
              <w:ind w:left="0" w:leftChars="0" w:right="0" w:rightChars="0"/>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传播东湖正能量</w:t>
            </w:r>
          </w:p>
        </w:tc>
        <w:tc>
          <w:tcPr>
            <w:tcW w:w="675" w:type="dxa"/>
            <w:vAlign w:val="center"/>
          </w:tcPr>
          <w:p>
            <w:pPr>
              <w:pStyle w:val="13"/>
              <w:ind w:left="0" w:leftChars="0" w:right="0" w:rightChars="0"/>
              <w:jc w:val="center"/>
              <w:rPr>
                <w:rFonts w:hint="default" w:ascii="Times New Roman"/>
                <w:sz w:val="20"/>
                <w:lang w:val="en-US" w:eastAsia="zh-CN"/>
              </w:rPr>
            </w:pPr>
            <w:r>
              <w:rPr>
                <w:rFonts w:hint="eastAsia" w:ascii="Times New Roman"/>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972" w:type="dxa"/>
            <w:vMerge w:val="continue"/>
          </w:tcPr>
          <w:p>
            <w:pPr>
              <w:pStyle w:val="13"/>
              <w:spacing w:line="263" w:lineRule="exact"/>
              <w:ind w:left="44" w:right="37"/>
              <w:jc w:val="center"/>
              <w:rPr>
                <w:sz w:val="21"/>
              </w:rPr>
            </w:pPr>
          </w:p>
        </w:tc>
        <w:tc>
          <w:tcPr>
            <w:tcW w:w="1218" w:type="dxa"/>
            <w:gridSpan w:val="2"/>
            <w:vMerge w:val="continue"/>
            <w:vAlign w:val="center"/>
          </w:tcPr>
          <w:p>
            <w:pPr>
              <w:pStyle w:val="13"/>
              <w:spacing w:before="123"/>
              <w:ind w:left="188"/>
              <w:jc w:val="center"/>
              <w:rPr>
                <w:sz w:val="21"/>
              </w:rPr>
            </w:pPr>
          </w:p>
        </w:tc>
        <w:tc>
          <w:tcPr>
            <w:tcW w:w="596" w:type="dxa"/>
            <w:vMerge w:val="continue"/>
            <w:vAlign w:val="center"/>
          </w:tcPr>
          <w:p>
            <w:pPr>
              <w:pStyle w:val="13"/>
              <w:jc w:val="center"/>
              <w:rPr>
                <w:rFonts w:hint="eastAsia" w:ascii="Times New Roman"/>
                <w:sz w:val="20"/>
                <w:lang w:val="en-US" w:eastAsia="zh-CN"/>
              </w:rPr>
            </w:pPr>
          </w:p>
        </w:tc>
        <w:tc>
          <w:tcPr>
            <w:tcW w:w="1963" w:type="dxa"/>
            <w:vMerge w:val="continue"/>
            <w:tcBorders>
              <w:top w:val="nil"/>
            </w:tcBorders>
            <w:vAlign w:val="center"/>
          </w:tcPr>
          <w:p>
            <w:pPr>
              <w:jc w:val="center"/>
              <w:rPr>
                <w:sz w:val="2"/>
                <w:szCs w:val="2"/>
              </w:rPr>
            </w:pPr>
          </w:p>
        </w:tc>
        <w:tc>
          <w:tcPr>
            <w:tcW w:w="556" w:type="dxa"/>
            <w:vAlign w:val="center"/>
          </w:tcPr>
          <w:p>
            <w:pPr>
              <w:pStyle w:val="13"/>
              <w:jc w:val="center"/>
              <w:rPr>
                <w:rFonts w:hint="default" w:ascii="Times New Roman"/>
                <w:sz w:val="20"/>
                <w:lang w:val="en-US" w:eastAsia="zh-CN"/>
              </w:rPr>
            </w:pPr>
            <w:r>
              <w:rPr>
                <w:rFonts w:hint="eastAsia" w:ascii="Times New Roman"/>
                <w:sz w:val="20"/>
                <w:lang w:val="en-US" w:eastAsia="zh-CN"/>
              </w:rPr>
              <w:t>5</w:t>
            </w:r>
          </w:p>
        </w:tc>
        <w:tc>
          <w:tcPr>
            <w:tcW w:w="2996" w:type="dxa"/>
            <w:vAlign w:val="center"/>
          </w:tcPr>
          <w:p>
            <w:pPr>
              <w:widowControl/>
              <w:spacing w:line="240" w:lineRule="exact"/>
              <w:ind w:left="0" w:leftChars="0" w:right="0" w:rightChars="0"/>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丰富青少年业余</w:t>
            </w:r>
          </w:p>
          <w:p>
            <w:pPr>
              <w:widowControl/>
              <w:spacing w:line="240" w:lineRule="exact"/>
              <w:ind w:left="0" w:leftChars="0" w:right="0" w:rightChars="0"/>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活动</w:t>
            </w:r>
          </w:p>
        </w:tc>
        <w:tc>
          <w:tcPr>
            <w:tcW w:w="675" w:type="dxa"/>
            <w:vAlign w:val="center"/>
          </w:tcPr>
          <w:p>
            <w:pPr>
              <w:pStyle w:val="13"/>
              <w:ind w:left="0" w:leftChars="0" w:right="0" w:rightChars="0"/>
              <w:jc w:val="center"/>
              <w:rPr>
                <w:rFonts w:hint="default" w:ascii="Times New Roman"/>
                <w:sz w:val="20"/>
                <w:lang w:val="en-US" w:eastAsia="zh-CN"/>
              </w:rPr>
            </w:pPr>
            <w:r>
              <w:rPr>
                <w:rFonts w:hint="eastAsia" w:ascii="Times New Roman"/>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972" w:type="dxa"/>
            <w:vMerge w:val="continue"/>
          </w:tcPr>
          <w:p>
            <w:pPr>
              <w:pStyle w:val="13"/>
              <w:spacing w:line="263" w:lineRule="exact"/>
              <w:ind w:left="44" w:right="37"/>
              <w:jc w:val="center"/>
              <w:rPr>
                <w:sz w:val="21"/>
              </w:rPr>
            </w:pPr>
          </w:p>
        </w:tc>
        <w:tc>
          <w:tcPr>
            <w:tcW w:w="1218" w:type="dxa"/>
            <w:gridSpan w:val="2"/>
            <w:vMerge w:val="continue"/>
            <w:vAlign w:val="center"/>
          </w:tcPr>
          <w:p>
            <w:pPr>
              <w:pStyle w:val="13"/>
              <w:spacing w:before="123"/>
              <w:ind w:left="188"/>
              <w:jc w:val="center"/>
              <w:rPr>
                <w:sz w:val="21"/>
              </w:rPr>
            </w:pPr>
          </w:p>
        </w:tc>
        <w:tc>
          <w:tcPr>
            <w:tcW w:w="596" w:type="dxa"/>
            <w:vMerge w:val="continue"/>
            <w:vAlign w:val="center"/>
          </w:tcPr>
          <w:p>
            <w:pPr>
              <w:pStyle w:val="13"/>
              <w:jc w:val="center"/>
              <w:rPr>
                <w:rFonts w:hint="eastAsia" w:ascii="Times New Roman"/>
                <w:sz w:val="20"/>
                <w:lang w:val="en-US" w:eastAsia="zh-CN"/>
              </w:rPr>
            </w:pPr>
          </w:p>
        </w:tc>
        <w:tc>
          <w:tcPr>
            <w:tcW w:w="1963" w:type="dxa"/>
            <w:vMerge w:val="continue"/>
            <w:tcBorders>
              <w:top w:val="nil"/>
            </w:tcBorders>
            <w:vAlign w:val="center"/>
          </w:tcPr>
          <w:p>
            <w:pPr>
              <w:jc w:val="center"/>
              <w:rPr>
                <w:sz w:val="2"/>
                <w:szCs w:val="2"/>
              </w:rPr>
            </w:pPr>
          </w:p>
        </w:tc>
        <w:tc>
          <w:tcPr>
            <w:tcW w:w="556" w:type="dxa"/>
            <w:vAlign w:val="center"/>
          </w:tcPr>
          <w:p>
            <w:pPr>
              <w:pStyle w:val="13"/>
              <w:jc w:val="center"/>
              <w:rPr>
                <w:rFonts w:hint="default" w:ascii="Times New Roman"/>
                <w:sz w:val="20"/>
                <w:lang w:val="en-US" w:eastAsia="zh-CN"/>
              </w:rPr>
            </w:pPr>
            <w:r>
              <w:rPr>
                <w:rFonts w:hint="eastAsia" w:ascii="Times New Roman"/>
                <w:sz w:val="20"/>
                <w:lang w:val="en-US" w:eastAsia="zh-CN"/>
              </w:rPr>
              <w:t>5</w:t>
            </w:r>
          </w:p>
        </w:tc>
        <w:tc>
          <w:tcPr>
            <w:tcW w:w="2996" w:type="dxa"/>
            <w:vAlign w:val="center"/>
          </w:tcPr>
          <w:p>
            <w:pPr>
              <w:widowControl/>
              <w:spacing w:line="240" w:lineRule="exact"/>
              <w:ind w:left="0" w:leftChars="0" w:right="0" w:rightChars="0"/>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提升我区基层团组织建设水平</w:t>
            </w:r>
          </w:p>
        </w:tc>
        <w:tc>
          <w:tcPr>
            <w:tcW w:w="675" w:type="dxa"/>
            <w:vAlign w:val="center"/>
          </w:tcPr>
          <w:p>
            <w:pPr>
              <w:pStyle w:val="13"/>
              <w:ind w:left="0" w:leftChars="0" w:right="0" w:rightChars="0"/>
              <w:jc w:val="center"/>
              <w:rPr>
                <w:rFonts w:hint="default" w:ascii="Times New Roman"/>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72" w:type="dxa"/>
            <w:vMerge w:val="continue"/>
            <w:tcBorders>
              <w:top w:val="nil"/>
            </w:tcBorders>
          </w:tcPr>
          <w:p>
            <w:pPr>
              <w:rPr>
                <w:sz w:val="2"/>
                <w:szCs w:val="2"/>
              </w:rPr>
            </w:pPr>
          </w:p>
        </w:tc>
        <w:tc>
          <w:tcPr>
            <w:tcW w:w="1218" w:type="dxa"/>
            <w:gridSpan w:val="2"/>
          </w:tcPr>
          <w:p>
            <w:pPr>
              <w:pStyle w:val="13"/>
              <w:spacing w:before="124"/>
              <w:ind w:left="82"/>
              <w:rPr>
                <w:sz w:val="21"/>
              </w:rPr>
            </w:pPr>
            <w:r>
              <w:rPr>
                <w:sz w:val="21"/>
              </w:rPr>
              <w:t>可持续效益</w:t>
            </w:r>
          </w:p>
        </w:tc>
        <w:tc>
          <w:tcPr>
            <w:tcW w:w="596" w:type="dxa"/>
            <w:vAlign w:val="center"/>
          </w:tcPr>
          <w:p>
            <w:pPr>
              <w:pStyle w:val="13"/>
              <w:jc w:val="center"/>
              <w:rPr>
                <w:rFonts w:hint="default" w:ascii="Times New Roman" w:eastAsia="仿宋_GB2312"/>
                <w:sz w:val="20"/>
                <w:lang w:val="en-US" w:eastAsia="zh-CN"/>
              </w:rPr>
            </w:pPr>
            <w:r>
              <w:rPr>
                <w:rFonts w:hint="eastAsia" w:ascii="Times New Roman"/>
                <w:sz w:val="20"/>
                <w:lang w:val="en-US" w:eastAsia="zh-CN"/>
              </w:rPr>
              <w:t>10</w:t>
            </w:r>
          </w:p>
        </w:tc>
        <w:tc>
          <w:tcPr>
            <w:tcW w:w="1963" w:type="dxa"/>
            <w:vMerge w:val="continue"/>
            <w:tcBorders>
              <w:top w:val="nil"/>
            </w:tcBorders>
            <w:vAlign w:val="center"/>
          </w:tcPr>
          <w:p>
            <w:pPr>
              <w:jc w:val="center"/>
              <w:rPr>
                <w:sz w:val="2"/>
                <w:szCs w:val="2"/>
              </w:rPr>
            </w:pPr>
          </w:p>
        </w:tc>
        <w:tc>
          <w:tcPr>
            <w:tcW w:w="556" w:type="dxa"/>
            <w:vAlign w:val="center"/>
          </w:tcPr>
          <w:p>
            <w:pPr>
              <w:pStyle w:val="13"/>
              <w:jc w:val="center"/>
              <w:rPr>
                <w:rFonts w:hint="default" w:ascii="Times New Roman" w:eastAsia="仿宋_GB2312"/>
                <w:sz w:val="20"/>
                <w:lang w:val="en-US" w:eastAsia="zh-CN"/>
              </w:rPr>
            </w:pPr>
            <w:r>
              <w:rPr>
                <w:rFonts w:hint="eastAsia" w:ascii="Times New Roman"/>
                <w:sz w:val="20"/>
                <w:lang w:val="en-US" w:eastAsia="zh-CN"/>
              </w:rPr>
              <w:t>10</w:t>
            </w:r>
          </w:p>
        </w:tc>
        <w:tc>
          <w:tcPr>
            <w:tcW w:w="2996" w:type="dxa"/>
            <w:vAlign w:val="center"/>
          </w:tcPr>
          <w:p>
            <w:pPr>
              <w:widowControl/>
              <w:spacing w:line="240" w:lineRule="exact"/>
              <w:ind w:left="0" w:leftChars="0" w:right="0" w:rightChars="0"/>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项目可复制性</w:t>
            </w:r>
          </w:p>
        </w:tc>
        <w:tc>
          <w:tcPr>
            <w:tcW w:w="675" w:type="dxa"/>
            <w:vAlign w:val="center"/>
          </w:tcPr>
          <w:p>
            <w:pPr>
              <w:pStyle w:val="13"/>
              <w:ind w:left="0" w:leftChars="0" w:right="0" w:rightChars="0"/>
              <w:jc w:val="center"/>
              <w:rPr>
                <w:rFonts w:hint="default" w:ascii="Times New Roman"/>
                <w:sz w:val="20"/>
                <w:lang w:val="en-US" w:eastAsia="zh-CN"/>
              </w:rPr>
            </w:pPr>
            <w:r>
              <w:rPr>
                <w:rFonts w:hint="eastAsia" w:ascii="Times New Roman"/>
                <w:sz w:val="20"/>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72" w:type="dxa"/>
          </w:tcPr>
          <w:p>
            <w:pPr>
              <w:pStyle w:val="13"/>
              <w:spacing w:before="6"/>
              <w:rPr>
                <w:rFonts w:ascii="方正小标宋简体"/>
                <w:sz w:val="16"/>
              </w:rPr>
            </w:pPr>
          </w:p>
          <w:p>
            <w:pPr>
              <w:pStyle w:val="13"/>
              <w:spacing w:line="263" w:lineRule="exact"/>
              <w:ind w:left="44" w:right="34"/>
              <w:jc w:val="center"/>
              <w:rPr>
                <w:sz w:val="21"/>
              </w:rPr>
            </w:pPr>
            <w:r>
              <w:rPr>
                <w:sz w:val="21"/>
              </w:rPr>
              <w:t>满意度</w:t>
            </w:r>
          </w:p>
          <w:p>
            <w:pPr>
              <w:pStyle w:val="13"/>
              <w:spacing w:line="263" w:lineRule="exact"/>
              <w:ind w:left="44" w:right="37"/>
              <w:jc w:val="center"/>
              <w:rPr>
                <w:sz w:val="21"/>
              </w:rPr>
            </w:pPr>
            <w:r>
              <w:rPr>
                <w:sz w:val="21"/>
              </w:rPr>
              <w:t>（10分）</w:t>
            </w:r>
          </w:p>
        </w:tc>
        <w:tc>
          <w:tcPr>
            <w:tcW w:w="1218" w:type="dxa"/>
            <w:gridSpan w:val="2"/>
          </w:tcPr>
          <w:p>
            <w:pPr>
              <w:pStyle w:val="13"/>
              <w:spacing w:before="89" w:line="216" w:lineRule="auto"/>
              <w:ind w:left="82" w:right="74"/>
              <w:jc w:val="center"/>
              <w:rPr>
                <w:sz w:val="21"/>
              </w:rPr>
            </w:pPr>
            <w:r>
              <w:rPr>
                <w:sz w:val="21"/>
              </w:rPr>
              <w:t xml:space="preserve">社会公众 </w:t>
            </w:r>
            <w:r>
              <w:rPr>
                <w:spacing w:val="-3"/>
                <w:sz w:val="21"/>
              </w:rPr>
              <w:t>或服务对象</w:t>
            </w:r>
            <w:r>
              <w:rPr>
                <w:sz w:val="21"/>
              </w:rPr>
              <w:t>满意度</w:t>
            </w:r>
          </w:p>
        </w:tc>
        <w:tc>
          <w:tcPr>
            <w:tcW w:w="596" w:type="dxa"/>
            <w:vAlign w:val="center"/>
          </w:tcPr>
          <w:p>
            <w:pPr>
              <w:pStyle w:val="13"/>
              <w:jc w:val="center"/>
              <w:rPr>
                <w:rFonts w:hint="default" w:ascii="Times New Roman" w:eastAsia="仿宋_GB2312"/>
                <w:sz w:val="20"/>
                <w:lang w:val="en-US" w:eastAsia="zh-CN"/>
              </w:rPr>
            </w:pPr>
            <w:r>
              <w:rPr>
                <w:rFonts w:hint="eastAsia" w:ascii="Times New Roman"/>
                <w:sz w:val="20"/>
                <w:lang w:val="en-US" w:eastAsia="zh-CN"/>
              </w:rPr>
              <w:t>10</w:t>
            </w:r>
          </w:p>
        </w:tc>
        <w:tc>
          <w:tcPr>
            <w:tcW w:w="1963" w:type="dxa"/>
            <w:vAlign w:val="center"/>
          </w:tcPr>
          <w:p>
            <w:pPr>
              <w:pStyle w:val="13"/>
              <w:jc w:val="center"/>
              <w:rPr>
                <w:rFonts w:ascii="Times New Roman"/>
                <w:sz w:val="20"/>
              </w:rPr>
            </w:pPr>
          </w:p>
        </w:tc>
        <w:tc>
          <w:tcPr>
            <w:tcW w:w="556" w:type="dxa"/>
            <w:vAlign w:val="center"/>
          </w:tcPr>
          <w:p>
            <w:pPr>
              <w:pStyle w:val="13"/>
              <w:jc w:val="center"/>
              <w:rPr>
                <w:rFonts w:hint="default" w:ascii="Times New Roman" w:eastAsia="仿宋_GB2312"/>
                <w:sz w:val="20"/>
                <w:lang w:val="en-US" w:eastAsia="zh-CN"/>
              </w:rPr>
            </w:pPr>
            <w:r>
              <w:rPr>
                <w:rFonts w:hint="eastAsia" w:ascii="Times New Roman"/>
                <w:sz w:val="20"/>
                <w:lang w:val="en-US" w:eastAsia="zh-CN"/>
              </w:rPr>
              <w:t>10</w:t>
            </w:r>
          </w:p>
        </w:tc>
        <w:tc>
          <w:tcPr>
            <w:tcW w:w="2996" w:type="dxa"/>
            <w:vAlign w:val="center"/>
          </w:tcPr>
          <w:p>
            <w:pPr>
              <w:widowControl/>
              <w:spacing w:line="240" w:lineRule="exact"/>
              <w:ind w:left="0" w:leftChars="0" w:right="0" w:rightChars="0"/>
              <w:jc w:val="lef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eastAsia="zh-CN"/>
              </w:rPr>
              <w:t>团员青年满意度≥</w:t>
            </w:r>
            <w:r>
              <w:rPr>
                <w:rFonts w:hint="eastAsia" w:ascii="宋体" w:hAnsi="宋体" w:cs="宋体"/>
                <w:color w:val="000000"/>
                <w:kern w:val="0"/>
                <w:sz w:val="18"/>
                <w:szCs w:val="18"/>
                <w:lang w:val="en-US" w:eastAsia="zh-CN"/>
              </w:rPr>
              <w:t>90%</w:t>
            </w:r>
          </w:p>
        </w:tc>
        <w:tc>
          <w:tcPr>
            <w:tcW w:w="675" w:type="dxa"/>
            <w:vAlign w:val="center"/>
          </w:tcPr>
          <w:p>
            <w:pPr>
              <w:pStyle w:val="13"/>
              <w:ind w:left="0" w:leftChars="0" w:right="0" w:rightChars="0"/>
              <w:jc w:val="center"/>
              <w:rPr>
                <w:rFonts w:hint="default" w:ascii="Times New Roman"/>
                <w:sz w:val="20"/>
                <w:lang w:val="en-US" w:eastAsia="zh-CN"/>
              </w:rPr>
            </w:pPr>
            <w:r>
              <w:rPr>
                <w:rFonts w:hint="eastAsia" w:ascii="Times New Roman"/>
                <w:sz w:val="20"/>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301" w:type="dxa"/>
            <w:gridSpan w:val="7"/>
          </w:tcPr>
          <w:p>
            <w:pPr>
              <w:pStyle w:val="13"/>
              <w:spacing w:before="124"/>
              <w:ind w:left="3918" w:right="3913"/>
              <w:jc w:val="center"/>
              <w:rPr>
                <w:sz w:val="21"/>
              </w:rPr>
            </w:pPr>
            <w:r>
              <w:rPr>
                <w:sz w:val="21"/>
              </w:rPr>
              <w:t>总分</w:t>
            </w:r>
          </w:p>
        </w:tc>
        <w:tc>
          <w:tcPr>
            <w:tcW w:w="675" w:type="dxa"/>
            <w:vAlign w:val="center"/>
          </w:tcPr>
          <w:p>
            <w:pPr>
              <w:pStyle w:val="13"/>
              <w:jc w:val="center"/>
              <w:rPr>
                <w:rFonts w:hint="default" w:ascii="Times New Roman" w:eastAsia="仿宋_GB2312"/>
                <w:sz w:val="20"/>
                <w:lang w:val="en-US" w:eastAsia="zh-CN"/>
              </w:rPr>
            </w:pPr>
            <w:r>
              <w:rPr>
                <w:rFonts w:hint="eastAsia" w:ascii="Times New Roman"/>
                <w:sz w:val="20"/>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056" w:type="dxa"/>
            <w:gridSpan w:val="2"/>
            <w:vMerge w:val="restart"/>
          </w:tcPr>
          <w:p>
            <w:pPr>
              <w:pStyle w:val="13"/>
              <w:spacing w:before="1"/>
              <w:rPr>
                <w:rFonts w:ascii="方正小标宋简体"/>
                <w:sz w:val="24"/>
              </w:rPr>
            </w:pPr>
          </w:p>
          <w:p>
            <w:pPr>
              <w:pStyle w:val="13"/>
              <w:ind w:left="106"/>
              <w:rPr>
                <w:sz w:val="21"/>
              </w:rPr>
            </w:pPr>
            <w:r>
              <w:rPr>
                <w:sz w:val="21"/>
              </w:rPr>
              <w:t>评价等级</w:t>
            </w:r>
          </w:p>
        </w:tc>
        <w:tc>
          <w:tcPr>
            <w:tcW w:w="7920" w:type="dxa"/>
            <w:gridSpan w:val="6"/>
          </w:tcPr>
          <w:p>
            <w:pPr>
              <w:pStyle w:val="13"/>
              <w:numPr>
                <w:ilvl w:val="0"/>
                <w:numId w:val="0"/>
              </w:numPr>
              <w:tabs>
                <w:tab w:val="left" w:pos="2165"/>
                <w:tab w:val="left" w:pos="3214"/>
                <w:tab w:val="left" w:pos="4493"/>
                <w:tab w:val="left" w:pos="5545"/>
              </w:tabs>
              <w:spacing w:before="128" w:after="0" w:line="240" w:lineRule="auto"/>
              <w:ind w:left="1965" w:leftChars="0" w:right="0" w:rightChars="0"/>
              <w:jc w:val="left"/>
              <w:rPr>
                <w:sz w:val="21"/>
              </w:rPr>
            </w:pPr>
            <w:r>
              <w:rPr>
                <w:rFonts w:hint="default" w:ascii="Arial" w:hAnsi="Arial" w:cs="Arial"/>
                <w:sz w:val="21"/>
              </w:rPr>
              <w:t>√</w:t>
            </w:r>
            <w:r>
              <w:rPr>
                <w:sz w:val="21"/>
              </w:rPr>
              <w:t>优</w:t>
            </w:r>
            <w:r>
              <w:rPr>
                <w:sz w:val="21"/>
              </w:rPr>
              <w:tab/>
            </w:r>
            <w:r>
              <w:rPr>
                <w:rFonts w:ascii="Wingdings" w:hAnsi="Wingdings" w:eastAsia="Wingdings"/>
                <w:spacing w:val="-3"/>
                <w:sz w:val="22"/>
              </w:rPr>
              <w:t></w:t>
            </w:r>
            <w:r>
              <w:rPr>
                <w:sz w:val="21"/>
              </w:rPr>
              <w:t>良</w:t>
            </w:r>
            <w:r>
              <w:rPr>
                <w:sz w:val="21"/>
              </w:rPr>
              <w:tab/>
            </w:r>
            <w:r>
              <w:rPr>
                <w:rFonts w:ascii="Wingdings" w:hAnsi="Wingdings" w:eastAsia="Wingdings"/>
                <w:sz w:val="22"/>
              </w:rPr>
              <w:t></w:t>
            </w:r>
            <w:r>
              <w:rPr>
                <w:sz w:val="21"/>
              </w:rPr>
              <w:t>中</w:t>
            </w:r>
            <w:r>
              <w:rPr>
                <w:sz w:val="21"/>
              </w:rPr>
              <w:tab/>
            </w:r>
            <w:r>
              <w:rPr>
                <w:rFonts w:ascii="Wingdings" w:hAnsi="Wingdings" w:eastAsia="Wingdings"/>
                <w:spacing w:val="-3"/>
                <w:sz w:val="22"/>
              </w:rPr>
              <w:t></w:t>
            </w:r>
            <w:r>
              <w:rPr>
                <w:sz w:val="21"/>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056" w:type="dxa"/>
            <w:gridSpan w:val="2"/>
            <w:vMerge w:val="continue"/>
            <w:tcBorders>
              <w:top w:val="nil"/>
            </w:tcBorders>
          </w:tcPr>
          <w:p>
            <w:pPr>
              <w:rPr>
                <w:sz w:val="2"/>
                <w:szCs w:val="2"/>
              </w:rPr>
            </w:pPr>
          </w:p>
        </w:tc>
        <w:tc>
          <w:tcPr>
            <w:tcW w:w="7920" w:type="dxa"/>
            <w:gridSpan w:val="6"/>
          </w:tcPr>
          <w:p>
            <w:pPr>
              <w:pStyle w:val="13"/>
              <w:spacing w:before="156"/>
              <w:ind w:left="3"/>
              <w:rPr>
                <w:sz w:val="21"/>
              </w:rPr>
            </w:pPr>
            <w:r>
              <w:rPr>
                <w:sz w:val="21"/>
              </w:rPr>
              <w:t>90（含）-100分为优、80（含）-90分为良、60（含）-80分为中、60分以下为差</w:t>
            </w:r>
          </w:p>
        </w:tc>
      </w:tr>
    </w:tbl>
    <w:p>
      <w:pPr>
        <w:spacing w:before="3"/>
        <w:ind w:left="396" w:right="0" w:firstLine="0"/>
        <w:jc w:val="left"/>
      </w:pPr>
      <w:r>
        <w:rPr>
          <w:sz w:val="20"/>
        </w:rPr>
        <w:t>注：请参照《项目支出绩效评价指标体系框架》（财预〔2020〕10 号）设置相关指标。</w:t>
      </w:r>
    </w:p>
    <w:sectPr>
      <w:pgSz w:w="11910" w:h="16840"/>
      <w:pgMar w:top="567" w:right="1340" w:bottom="0" w:left="1360" w:header="0" w:footer="1259" w:gutter="0"/>
      <w:pgBorders>
        <w:top w:val="none" w:sz="0" w:space="0"/>
        <w:left w:val="none" w:sz="0" w:space="0"/>
        <w:bottom w:val="none" w:sz="0" w:space="0"/>
        <w:right w:val="none" w:sz="0" w:space="0"/>
      </w:pgBorders>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9755505</wp:posOffset>
              </wp:positionV>
              <wp:extent cx="560070" cy="31178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60070" cy="311785"/>
                      </a:xfrm>
                      <a:prstGeom prst="rect">
                        <a:avLst/>
                      </a:prstGeom>
                      <a:noFill/>
                      <a:ln>
                        <a:noFill/>
                      </a:ln>
                    </wps:spPr>
                    <wps:txbx>
                      <w:txbxContent>
                        <w:p>
                          <w:pPr>
                            <w:spacing w:before="151" w:line="340"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19</w:t>
                          </w:r>
                          <w:r>
                            <w:fldChar w:fldCharType="end"/>
                          </w:r>
                          <w:r>
                            <w:rPr>
                              <w:rFonts w:asci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top:768.15pt;height:24.55pt;width:44.1pt;mso-position-horizontal:outside;mso-position-horizontal-relative:margin;mso-position-vertical-relative:page;z-index:251659264;mso-width-relative:page;mso-height-relative:page;" filled="f" stroked="f" coordsize="21600,21600" o:gfxdata="UEsDBAoAAAAAAIdO4kAAAAAAAAAAAAAAAAAEAAAAZHJzL1BLAwQUAAAACACHTuJA2fcTz9gAAAAJ&#10;AQAADwAAAGRycy9kb3ducmV2LnhtbE2PzU7DMBCE70i8g7VI3KjdlkZpGqdCCE5IiDQcODrxNoka&#10;r0Ps/vD2bE9w3JnR7Df59uIGccIp9J40zGcKBFLjbU+ths/q9SEFEaIhawZPqOEHA2yL25vcZNaf&#10;qcTTLraCSyhkRkMX45hJGZoOnQkzPyKxt/eTM5HPqZV2Mmcud4NcKJVIZ3riD50Z8bnD5rA7Og1P&#10;X1S+9N/v9Ue5L/uqWit6Sw5a39/N1QZExEv8C8MVn9GhYKbaH8kGMWjgIZHV1TJZgmA/TRcg6quS&#10;rh5BFrn8v6D4BVBLAwQUAAAACACHTuJAj+RNm7oBAABxAwAADgAAAGRycy9lMm9Eb2MueG1srVNL&#10;btswEN0X6B0I7mvKKeIEguUAhZGiQNEGSHsAmiItAvxhSFvyBdobdNVN9jmXz5EhZTltusmiG2o0&#10;M3rz3htqeTNYQ/YSovauofNZRYl0wrfabRv6/dvtu2tKYuKu5cY72dCDjPRm9fbNsg+1vPCdN60E&#10;giAu1n1oaJdSqBmLopOWx5kP0mFRebA84StsWQu8R3Rr2EVVLVjvoQ3ghYwRs+uxSE+I8BpAr5QW&#10;cu3FzkqXRlSQhieUFDsdIl0VtkpJkb4qFWUipqGoNJUTh2C8ySdbLXm9BR46LU4U+GsovNBkuXY4&#10;9Ay15omTHeh/oKwW4KNXaSa8ZaOQ4giqmFcvvLnveJBFC1odw9n0+P9gxZf9HRDdNnRBieMWF378&#10;9fP4+/H48IMssj19iDV23QfsS8MHP+ClmfIRk1n1oMDmJ+ohWEdzD2dz5ZCIwOTloqqusCKw9H4+&#10;v7q+zCjs+eMAMX2U3pIcNBRwd8VSvv8c09g6teRZzt9qY8r+jPsrgZg5wzLzkWGO0rAZTnI2vj2g&#10;GvPJoZP5VkwBTMFmCnYB9LZDOkVzgcRNFN6nW5NX/ed7Gfz8p6y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n3E8/YAAAACQEAAA8AAAAAAAAAAQAgAAAAIgAAAGRycy9kb3ducmV2LnhtbFBLAQIU&#10;ABQAAAAIAIdO4kCP5E2bugEAAHEDAAAOAAAAAAAAAAEAIAAAACcBAABkcnMvZTJvRG9jLnhtbFBL&#10;BQYAAAAABgAGAFkBAABTBQAAAAA=&#10;">
              <v:fill on="f" focussize="0,0"/>
              <v:stroke on="f"/>
              <v:imagedata o:title=""/>
              <o:lock v:ext="edit" aspectratio="f"/>
              <v:textbox inset="0mm,0mm,0mm,0mm">
                <w:txbxContent>
                  <w:p>
                    <w:pPr>
                      <w:spacing w:before="151" w:line="340"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19</w:t>
                    </w:r>
                    <w:r>
                      <w:fldChar w:fldCharType="end"/>
                    </w:r>
                    <w:r>
                      <w:rPr>
                        <w:rFonts w:asci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1102360</wp:posOffset>
              </wp:positionH>
              <wp:positionV relativeFrom="page">
                <wp:posOffset>9819640</wp:posOffset>
              </wp:positionV>
              <wp:extent cx="560070" cy="2038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18</w:t>
                          </w:r>
                          <w:r>
                            <w:fldChar w:fldCharType="end"/>
                          </w:r>
                          <w:r>
                            <w:rPr>
                              <w:rFonts w:asci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86.8pt;margin-top:773.2pt;height:16.05pt;width:44.1pt;mso-position-horizontal-relative:page;mso-position-vertical-relative:page;z-index:-251656192;mso-width-relative:page;mso-height-relative:page;" filled="f" stroked="f" coordsize="21600,21600" o:gfxdata="UEsDBAoAAAAAAIdO4kAAAAAAAAAAAAAAAAAEAAAAZHJzL1BLAwQUAAAACACHTuJAan5IPNsAAAAN&#10;AQAADwAAAGRycy9kb3ducmV2LnhtbE2PzU7DMBCE70i8g7VI3Kid0rolxKkQghMSIg0Hjk7sJlbj&#10;dYjdH96e7QluO7uj2W+KzdkP7Gin6AIqyGYCmMU2GIedgs/69W4NLCaNRg8BrYIfG2FTXl8VOjfh&#10;hJU9blPHKARjrhX0KY0557HtrddxFkaLdNuFyetEcuq4mfSJwv3A50JI7rVD+tDr0T73tt1vD17B&#10;0xdWL+77vfmodpWr6weBb3Kv1O1NJh6BJXtOf2a44BM6lMTUhAOayAbSq3tJVhqWC7kARpa5zKhN&#10;c1mt1kvgZcH/tyh/AVBLAwQUAAAACACHTuJAe+REtroBAABxAwAADgAAAGRycy9lMm9Eb2MueG1s&#10;rVNLbtswEN0X6B0I7msqDhIHguUAhZGiQNEWSHMAmiItAvyBQ1vyBdobdNVN9z2Xz9EhZTltsski&#10;G2o0M3rz3htqeTtYQ/YygvauoRezihLphG+12zb04dvduxtKIHHXcuOdbOhBAr1dvX2z7EMt577z&#10;ppWRIIiDug8N7VIKNWMgOmk5zHyQDovKR8sTvsYtayPvEd0aNq+qa9b72IbohQTA7Hos0hNifAmg&#10;V0oLufZiZ6VLI2qUhieUBJ0OQFeFrVJSpC9KgUzENBSVpnLiEIw3+WSrJa+3kYdOixMF/hIKTzRZ&#10;rh0OPUOteeJkF/UzKKtF9OBVmglv2SikOIIqLqon3tx3PMiiBa2GcDYdXg9WfN5/jUS3DV1Q4rjF&#10;hR9//jj++nP8/Z0ssj19gBq77gP2peG9H/DSTHnAZFY9qGjzE/UQrKO5h7O5ckhEYPLquqoWWBFY&#10;mleXN5dXGYU9fhwipA/SW5KDhkbcXbGU7z9BGlunljzL+TttTNmfcf8lEDNnWGY+MsxRGjbDSc7G&#10;twdUYz46dDLfiimIU7CZgl2IetshnaK5QOImCu/Trcmr/ve9DH78U1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p+SDzbAAAADQEAAA8AAAAAAAAAAQAgAAAAIgAAAGRycy9kb3ducmV2LnhtbFBL&#10;AQIUABQAAAAIAIdO4kB75ES2ugEAAHEDAAAOAAAAAAAAAAEAIAAAACoBAABkcnMvZTJvRG9jLnht&#10;bFBLBQYAAAAABgAGAFkBAABWBQ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18</w:t>
                    </w:r>
                    <w:r>
                      <w:fldChar w:fldCharType="end"/>
                    </w:r>
                    <w:r>
                      <w:rPr>
                        <w:rFonts w:ascii="宋体"/>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E4AE0D"/>
    <w:multiLevelType w:val="singleLevel"/>
    <w:tmpl w:val="A9E4AE0D"/>
    <w:lvl w:ilvl="0" w:tentative="0">
      <w:start w:val="3"/>
      <w:numFmt w:val="decimal"/>
      <w:suff w:val="nothing"/>
      <w:lvlText w:val="（%1）"/>
      <w:lvlJc w:val="left"/>
    </w:lvl>
  </w:abstractNum>
  <w:abstractNum w:abstractNumId="1">
    <w:nsid w:val="E5241C24"/>
    <w:multiLevelType w:val="singleLevel"/>
    <w:tmpl w:val="E5241C24"/>
    <w:lvl w:ilvl="0" w:tentative="0">
      <w:start w:val="5"/>
      <w:numFmt w:val="chineseCounting"/>
      <w:suff w:val="nothing"/>
      <w:lvlText w:val="%1、"/>
      <w:lvlJc w:val="left"/>
      <w:rPr>
        <w:rFonts w:hint="eastAsia"/>
      </w:rPr>
    </w:lvl>
  </w:abstractNum>
  <w:abstractNum w:abstractNumId="2">
    <w:nsid w:val="2E792E92"/>
    <w:multiLevelType w:val="singleLevel"/>
    <w:tmpl w:val="2E792E92"/>
    <w:lvl w:ilvl="0" w:tentative="0">
      <w:start w:val="2"/>
      <w:numFmt w:val="chineseCounting"/>
      <w:suff w:val="nothing"/>
      <w:lvlText w:val="（%1）"/>
      <w:lvlJc w:val="left"/>
      <w:pPr>
        <w:ind w:left="-49"/>
      </w:pPr>
      <w:rPr>
        <w:rFonts w:hint="eastAsia"/>
      </w:rPr>
    </w:lvl>
  </w:abstractNum>
  <w:abstractNum w:abstractNumId="3">
    <w:nsid w:val="35D0E9CC"/>
    <w:multiLevelType w:val="singleLevel"/>
    <w:tmpl w:val="35D0E9CC"/>
    <w:lvl w:ilvl="0" w:tentative="0">
      <w:start w:val="2"/>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mNWI5M2EzYmZkNGJkY2JiM2VmNjlmNzY3MzQ4MmUifQ=="/>
  </w:docVars>
  <w:rsids>
    <w:rsidRoot w:val="00000000"/>
    <w:rsid w:val="028C467A"/>
    <w:rsid w:val="02D037B2"/>
    <w:rsid w:val="0DCD37EC"/>
    <w:rsid w:val="1C247235"/>
    <w:rsid w:val="1CA50456"/>
    <w:rsid w:val="1DE96DCA"/>
    <w:rsid w:val="23114B53"/>
    <w:rsid w:val="2CAD1597"/>
    <w:rsid w:val="2DBD5F45"/>
    <w:rsid w:val="3049265A"/>
    <w:rsid w:val="308E4634"/>
    <w:rsid w:val="43F73771"/>
    <w:rsid w:val="61D218D0"/>
    <w:rsid w:val="6408392A"/>
    <w:rsid w:val="66EA3412"/>
    <w:rsid w:val="674C7A2E"/>
    <w:rsid w:val="679F7470"/>
    <w:rsid w:val="72C10DEA"/>
    <w:rsid w:val="72CE1C3F"/>
    <w:rsid w:val="75153E02"/>
    <w:rsid w:val="756A5D38"/>
    <w:rsid w:val="764C5E0A"/>
    <w:rsid w:val="7E807FB9"/>
    <w:rsid w:val="7E8B2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en-US" w:eastAsia="en-US" w:bidi="ar-SA"/>
    </w:rPr>
  </w:style>
  <w:style w:type="paragraph" w:styleId="4">
    <w:name w:val="heading 1"/>
    <w:basedOn w:val="1"/>
    <w:next w:val="1"/>
    <w:qFormat/>
    <w:uiPriority w:val="1"/>
    <w:pPr>
      <w:spacing w:before="72"/>
      <w:ind w:left="66" w:right="94" w:hanging="1872"/>
      <w:outlineLvl w:val="1"/>
    </w:pPr>
    <w:rPr>
      <w:rFonts w:ascii="方正小标宋简体" w:hAnsi="方正小标宋简体" w:eastAsia="方正小标宋简体" w:cs="方正小标宋简体"/>
      <w:sz w:val="44"/>
      <w:szCs w:val="44"/>
    </w:rPr>
  </w:style>
  <w:style w:type="paragraph" w:styleId="5">
    <w:name w:val="heading 2"/>
    <w:basedOn w:val="1"/>
    <w:next w:val="1"/>
    <w:qFormat/>
    <w:uiPriority w:val="1"/>
    <w:pPr>
      <w:ind w:left="66" w:right="67"/>
      <w:jc w:val="center"/>
      <w:outlineLvl w:val="2"/>
    </w:pPr>
    <w:rPr>
      <w:rFonts w:ascii="方正小标宋简体" w:hAnsi="方正小标宋简体" w:eastAsia="方正小标宋简体" w:cs="方正小标宋简体"/>
      <w:sz w:val="36"/>
      <w:szCs w:val="36"/>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仿宋_GB2312" w:hAnsi="仿宋_GB2312" w:eastAsia="仿宋_GB2312" w:cs="仿宋_GB2312"/>
      <w:sz w:val="32"/>
      <w:szCs w:val="32"/>
    </w:rPr>
  </w:style>
  <w:style w:type="paragraph" w:customStyle="1" w:styleId="3">
    <w:name w:val="p0"/>
    <w:basedOn w:val="1"/>
    <w:qFormat/>
    <w:uiPriority w:val="0"/>
    <w:pPr>
      <w:widowControl/>
    </w:pPr>
    <w:rPr>
      <w:rFonts w:ascii="等线" w:hAnsi="等线" w:cs="宋体"/>
      <w:kern w:val="0"/>
      <w:szCs w:val="21"/>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Times New Roman" w:eastAsia="宋体" w:cs="宋体"/>
      <w:kern w:val="0"/>
      <w:sz w:val="24"/>
      <w:szCs w:val="24"/>
    </w:rPr>
  </w:style>
  <w:style w:type="paragraph" w:styleId="8">
    <w:name w:val="Body Text First Indent"/>
    <w:basedOn w:val="2"/>
    <w:qFormat/>
    <w:uiPriority w:val="99"/>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Quote"/>
    <w:basedOn w:val="1"/>
    <w:next w:val="1"/>
    <w:qFormat/>
    <w:uiPriority w:val="0"/>
    <w:pPr>
      <w:wordWrap w:val="0"/>
      <w:spacing w:before="200" w:after="160"/>
      <w:ind w:left="864" w:right="864"/>
      <w:jc w:val="center"/>
    </w:pPr>
    <w:rPr>
      <w:rFonts w:eastAsia="微软雅黑"/>
      <w:i/>
    </w:rPr>
  </w:style>
  <w:style w:type="paragraph" w:customStyle="1" w:styleId="13">
    <w:name w:val="Table Paragraph"/>
    <w:basedOn w:val="1"/>
    <w:qFormat/>
    <w:uiPriority w:val="1"/>
    <w:rPr>
      <w:rFonts w:ascii="仿宋_GB2312" w:hAnsi="仿宋_GB2312" w:eastAsia="仿宋_GB2312" w:cs="仿宋_GB2312"/>
    </w:rPr>
  </w:style>
  <w:style w:type="paragraph" w:customStyle="1" w:styleId="14">
    <w:name w:val="Body Text Indent1"/>
    <w:basedOn w:val="1"/>
    <w:qFormat/>
    <w:uiPriority w:val="0"/>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8747</Words>
  <Characters>9132</Characters>
  <Lines>0</Lines>
  <Paragraphs>0</Paragraphs>
  <TotalTime>12</TotalTime>
  <ScaleCrop>false</ScaleCrop>
  <LinksUpToDate>false</LinksUpToDate>
  <CharactersWithSpaces>9266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2022-06-28T03:46:00Z</dcterms:created>
  <dc:creator>Administrator</dc:creator>
  <cp:lastModifiedBy>渔舟舟</cp:lastModifiedBy>
  <cp:lastPrinted>2022-06-29T01:40:00Z</cp:lastPrinted>
  <dcterms:modified xsi:type="dcterms:W3CDTF">2022-08-31T05:40:46Z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46CFBCFDC437421EB1081172BB1B7FA6</vt:lpwstr>
  </property>
</Properties>
</file>