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Arial"/>
          <w:b/>
          <w:bCs/>
          <w:sz w:val="36"/>
          <w:szCs w:val="36"/>
        </w:rPr>
      </w:pPr>
      <w:r>
        <w:rPr>
          <w:rFonts w:hint="eastAsia" w:ascii="宋体" w:hAnsi="宋体" w:cs="Arial"/>
          <w:b/>
          <w:bCs/>
          <w:szCs w:val="28"/>
        </w:rPr>
        <w:t xml:space="preserve">              </w:t>
      </w:r>
    </w:p>
    <w:p>
      <w:pPr>
        <w:ind w:firstLine="0" w:firstLineChars="0"/>
        <w:jc w:val="center"/>
        <w:rPr>
          <w:rFonts w:hint="eastAsia" w:ascii="宋体" w:hAnsi="宋体" w:cs="Arial"/>
          <w:b/>
          <w:bCs/>
          <w:sz w:val="36"/>
          <w:szCs w:val="36"/>
        </w:rPr>
      </w:pPr>
      <w:r>
        <w:rPr>
          <w:rFonts w:hint="eastAsia" w:ascii="宋体" w:hAnsi="宋体" w:cs="Arial"/>
          <w:b/>
          <w:bCs/>
          <w:sz w:val="36"/>
          <w:szCs w:val="36"/>
        </w:rPr>
        <w:t xml:space="preserve">     项目支出绩效评价报告</w:t>
      </w:r>
    </w:p>
    <w:p>
      <w:pPr>
        <w:ind w:firstLine="0" w:firstLineChars="0"/>
        <w:jc w:val="center"/>
        <w:rPr>
          <w:rFonts w:hint="eastAsia" w:ascii="宋体" w:hAnsi="宋体" w:eastAsia="宋体" w:cs="Arial"/>
          <w:b/>
          <w:bCs/>
          <w:sz w:val="36"/>
          <w:szCs w:val="36"/>
          <w:lang w:eastAsia="zh-CN"/>
        </w:rPr>
      </w:pPr>
      <w:r>
        <w:rPr>
          <w:rFonts w:hint="eastAsia" w:ascii="宋体" w:hAnsi="宋体" w:cs="Arial"/>
          <w:b/>
          <w:bCs/>
          <w:sz w:val="36"/>
          <w:szCs w:val="36"/>
          <w:lang w:val="en-US" w:eastAsia="zh-CN"/>
        </w:rPr>
        <w:t xml:space="preserve"> </w:t>
      </w:r>
    </w:p>
    <w:p>
      <w:pPr>
        <w:ind w:firstLine="723"/>
        <w:rPr>
          <w:rFonts w:ascii="宋体" w:hAnsi="宋体" w:cs="Arial"/>
          <w:b/>
          <w:bCs/>
          <w:sz w:val="36"/>
          <w:szCs w:val="36"/>
        </w:rPr>
      </w:pPr>
    </w:p>
    <w:p>
      <w:pPr>
        <w:spacing w:line="600" w:lineRule="exact"/>
        <w:ind w:firstLine="0" w:firstLineChars="0"/>
        <w:rPr>
          <w:rFonts w:ascii="黑体" w:hAnsi="黑体" w:eastAsia="黑体" w:cs="黑体"/>
          <w:sz w:val="36"/>
          <w:szCs w:val="36"/>
          <w:u w:val="single"/>
        </w:rPr>
      </w:pPr>
      <w:r>
        <w:rPr>
          <w:rFonts w:hint="eastAsia" w:ascii="宋体" w:hAnsi="宋体" w:cs="Arial"/>
          <w:b/>
          <w:bCs/>
          <w:sz w:val="36"/>
          <w:szCs w:val="36"/>
        </w:rPr>
        <w:t>项目名称：</w:t>
      </w:r>
      <w:r>
        <w:rPr>
          <w:rFonts w:hint="eastAsia" w:ascii="宋体" w:hAnsi="宋体" w:cs="Arial"/>
          <w:b/>
          <w:bCs/>
          <w:sz w:val="36"/>
          <w:szCs w:val="36"/>
          <w:u w:val="single"/>
        </w:rPr>
        <w:t xml:space="preserve">   </w:t>
      </w:r>
      <w:r>
        <w:rPr>
          <w:rFonts w:hint="eastAsia" w:ascii="宋体" w:hAnsi="宋体" w:cs="Arial"/>
          <w:b/>
          <w:bCs/>
          <w:sz w:val="36"/>
          <w:szCs w:val="36"/>
          <w:u w:val="single"/>
          <w:lang w:val="en-US" w:eastAsia="zh-CN"/>
        </w:rPr>
        <w:t xml:space="preserve">      市政养护工作经费项目</w:t>
      </w:r>
      <w:r>
        <w:rPr>
          <w:rFonts w:hint="eastAsia" w:ascii="黑体" w:hAnsi="黑体" w:eastAsia="黑体" w:cs="黑体"/>
          <w:sz w:val="36"/>
          <w:szCs w:val="36"/>
          <w:u w:val="single"/>
        </w:rPr>
        <w:t xml:space="preserve">              </w:t>
      </w:r>
    </w:p>
    <w:p>
      <w:pPr>
        <w:pStyle w:val="2"/>
        <w:ind w:firstLine="560"/>
      </w:pPr>
    </w:p>
    <w:p>
      <w:pPr>
        <w:spacing w:line="600" w:lineRule="exact"/>
        <w:ind w:firstLine="0" w:firstLineChars="0"/>
        <w:rPr>
          <w:rFonts w:ascii="宋体" w:hAnsi="宋体" w:cs="Arial"/>
          <w:b/>
          <w:bCs/>
          <w:sz w:val="36"/>
          <w:szCs w:val="36"/>
        </w:rPr>
      </w:pPr>
      <w:r>
        <w:rPr>
          <w:rFonts w:hint="eastAsia" w:ascii="宋体" w:hAnsi="宋体" w:cs="Arial"/>
          <w:b/>
          <w:bCs/>
          <w:sz w:val="36"/>
          <w:szCs w:val="36"/>
        </w:rPr>
        <w:t>项目类别：</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sz w:val="36"/>
          <w:szCs w:val="36"/>
          <w:u w:val="single"/>
        </w:rPr>
        <w:t xml:space="preserve"> </w:t>
      </w:r>
      <w:r>
        <w:rPr>
          <w:rFonts w:hint="eastAsia" w:ascii="宋体" w:hAnsi="宋体" w:cs="宋体"/>
          <w:b/>
          <w:bCs/>
          <w:sz w:val="36"/>
          <w:szCs w:val="36"/>
          <w:u w:val="single"/>
        </w:rPr>
        <w:t xml:space="preserve">     </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社会发展</w:t>
      </w:r>
      <w:r>
        <w:rPr>
          <w:rFonts w:hint="eastAsia" w:ascii="宋体" w:hAnsi="宋体" w:cs="宋体"/>
          <w:b/>
          <w:bCs/>
          <w:sz w:val="36"/>
          <w:szCs w:val="36"/>
          <w:u w:val="single"/>
        </w:rPr>
        <w:t xml:space="preserve">类 </w:t>
      </w:r>
      <w:r>
        <w:rPr>
          <w:rFonts w:hint="eastAsia" w:ascii="黑体" w:hAnsi="黑体" w:eastAsia="黑体" w:cs="黑体"/>
          <w:b/>
          <w:bCs/>
          <w:sz w:val="36"/>
          <w:szCs w:val="36"/>
          <w:u w:val="single"/>
        </w:rPr>
        <w:t xml:space="preserve">                             </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rPr>
      </w:pPr>
      <w:r>
        <w:rPr>
          <w:rFonts w:hint="eastAsia" w:ascii="宋体" w:hAnsi="宋体" w:cs="Arial"/>
          <w:b/>
          <w:bCs/>
          <w:sz w:val="36"/>
          <w:szCs w:val="36"/>
        </w:rPr>
        <w:t>实施单位：</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东湖区市政养护管理所</w:t>
      </w:r>
      <w:r>
        <w:rPr>
          <w:rFonts w:hint="eastAsia" w:ascii="宋体" w:hAnsi="宋体" w:cs="宋体"/>
          <w:b/>
          <w:bCs/>
          <w:sz w:val="36"/>
          <w:szCs w:val="36"/>
          <w:u w:val="single"/>
        </w:rPr>
        <w:t xml:space="preserve">   </w:t>
      </w:r>
      <w:r>
        <w:rPr>
          <w:rFonts w:hint="eastAsia" w:ascii="黑体" w:hAnsi="黑体" w:eastAsia="黑体" w:cs="黑体"/>
          <w:b/>
          <w:bCs/>
          <w:sz w:val="36"/>
          <w:szCs w:val="36"/>
          <w:u w:val="single"/>
        </w:rPr>
        <w:t xml:space="preserve">                            </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u w:val="single"/>
        </w:rPr>
      </w:pPr>
      <w:r>
        <w:rPr>
          <w:rFonts w:hint="eastAsia" w:ascii="宋体" w:hAnsi="宋体" w:cs="Arial"/>
          <w:b/>
          <w:bCs/>
          <w:sz w:val="36"/>
          <w:szCs w:val="36"/>
        </w:rPr>
        <w:t>主管部门：</w:t>
      </w:r>
      <w:r>
        <w:rPr>
          <w:rFonts w:hint="eastAsia" w:ascii="宋体" w:hAnsi="宋体" w:cs="Arial"/>
          <w:b/>
          <w:bCs/>
          <w:sz w:val="36"/>
          <w:szCs w:val="36"/>
          <w:u w:val="single"/>
        </w:rPr>
        <w:t xml:space="preserve">    </w:t>
      </w:r>
      <w:r>
        <w:rPr>
          <w:rFonts w:hint="eastAsia" w:ascii="宋体" w:hAnsi="宋体" w:cs="宋体"/>
          <w:b/>
          <w:bCs/>
          <w:sz w:val="36"/>
          <w:szCs w:val="36"/>
          <w:u w:val="single"/>
          <w:lang w:val="en-US" w:eastAsia="zh-CN"/>
        </w:rPr>
        <w:t xml:space="preserve">       东湖区城建局         </w:t>
      </w:r>
      <w:r>
        <w:rPr>
          <w:rFonts w:hint="eastAsia" w:ascii="黑体" w:hAnsi="黑体" w:eastAsia="黑体" w:cs="黑体"/>
          <w:b/>
          <w:bCs/>
          <w:sz w:val="36"/>
          <w:szCs w:val="36"/>
          <w:u w:val="single"/>
        </w:rPr>
        <w:t>（盖章）</w:t>
      </w:r>
      <w:r>
        <w:rPr>
          <w:rFonts w:hint="eastAsia" w:ascii="宋体" w:hAnsi="宋体" w:cs="Arial"/>
          <w:b/>
          <w:bCs/>
          <w:sz w:val="36"/>
          <w:szCs w:val="36"/>
          <w:u w:val="single"/>
        </w:rPr>
        <w:t xml:space="preserve">                                    </w:t>
      </w:r>
    </w:p>
    <w:p>
      <w:pPr>
        <w:pStyle w:val="2"/>
        <w:ind w:firstLine="560"/>
      </w:pPr>
    </w:p>
    <w:p>
      <w:pPr>
        <w:spacing w:line="600" w:lineRule="exact"/>
        <w:ind w:firstLine="0" w:firstLineChars="0"/>
        <w:jc w:val="left"/>
        <w:rPr>
          <w:rFonts w:ascii="宋体" w:hAnsi="宋体" w:cs="Arial"/>
          <w:b/>
          <w:bCs/>
          <w:sz w:val="36"/>
          <w:szCs w:val="36"/>
        </w:rPr>
      </w:pPr>
      <w:r>
        <w:rPr>
          <w:rFonts w:hint="eastAsia" w:ascii="宋体" w:hAnsi="宋体" w:cs="Arial"/>
          <w:b/>
          <w:bCs/>
          <w:sz w:val="36"/>
          <w:szCs w:val="36"/>
        </w:rPr>
        <w:t>评价机构：</w:t>
      </w:r>
      <w:r>
        <w:rPr>
          <w:rFonts w:hint="eastAsia" w:ascii="黑体" w:hAnsi="黑体" w:eastAsia="黑体" w:cs="黑体"/>
          <w:b/>
          <w:bCs/>
          <w:sz w:val="36"/>
          <w:szCs w:val="36"/>
          <w:u w:val="single"/>
        </w:rPr>
        <w:t xml:space="preserve">   </w:t>
      </w:r>
      <w:r>
        <w:rPr>
          <w:rFonts w:hint="eastAsia" w:ascii="黑体" w:hAnsi="黑体" w:eastAsia="黑体" w:cs="黑体"/>
          <w:b/>
          <w:bCs/>
          <w:sz w:val="36"/>
          <w:szCs w:val="36"/>
          <w:u w:val="single"/>
          <w:lang w:val="en-US" w:eastAsia="zh-CN"/>
        </w:rPr>
        <w:t xml:space="preserve"> </w:t>
      </w:r>
      <w:r>
        <w:rPr>
          <w:rFonts w:hint="eastAsia" w:ascii="宋体" w:hAnsi="宋体" w:eastAsia="宋体" w:cs="宋体"/>
          <w:b/>
          <w:bCs/>
          <w:sz w:val="36"/>
          <w:szCs w:val="36"/>
          <w:u w:val="single"/>
          <w:lang w:val="en-US" w:eastAsia="zh-CN"/>
        </w:rPr>
        <w:t>江西信达管理咨询有限公司</w:t>
      </w:r>
      <w:r>
        <w:rPr>
          <w:rFonts w:hint="eastAsia" w:ascii="黑体" w:hAnsi="黑体" w:eastAsia="黑体" w:cs="黑体"/>
          <w:b/>
          <w:bCs/>
          <w:sz w:val="36"/>
          <w:szCs w:val="36"/>
          <w:u w:val="single"/>
        </w:rPr>
        <w:t xml:space="preserve">    （盖章）</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rPr>
      </w:pPr>
      <w:r>
        <w:rPr>
          <w:rFonts w:hint="eastAsia" w:ascii="宋体" w:hAnsi="宋体" w:cs="Arial"/>
          <w:b/>
          <w:bCs/>
          <w:sz w:val="36"/>
          <w:szCs w:val="36"/>
        </w:rPr>
        <w:t>评价年度：</w:t>
      </w:r>
      <w:r>
        <w:rPr>
          <w:rFonts w:hint="eastAsia" w:ascii="黑体" w:hAnsi="黑体" w:eastAsia="黑体" w:cs="黑体"/>
          <w:sz w:val="36"/>
          <w:szCs w:val="36"/>
          <w:u w:val="single"/>
        </w:rPr>
        <w:t xml:space="preserve">  </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2020</w:t>
      </w:r>
      <w:r>
        <w:rPr>
          <w:rFonts w:hint="eastAsia" w:ascii="宋体" w:hAnsi="宋体" w:cs="宋体"/>
          <w:b/>
          <w:bCs/>
          <w:sz w:val="36"/>
          <w:szCs w:val="36"/>
          <w:u w:val="single"/>
        </w:rPr>
        <w:t xml:space="preserve">年度   </w:t>
      </w:r>
      <w:r>
        <w:rPr>
          <w:rFonts w:hint="eastAsia" w:ascii="黑体" w:hAnsi="黑体" w:eastAsia="黑体" w:cs="黑体"/>
          <w:b/>
          <w:bCs/>
          <w:sz w:val="36"/>
          <w:szCs w:val="36"/>
          <w:u w:val="single"/>
        </w:rPr>
        <w:t xml:space="preserve">                           </w:t>
      </w:r>
    </w:p>
    <w:p>
      <w:pPr>
        <w:ind w:firstLine="723"/>
        <w:rPr>
          <w:rFonts w:ascii="宋体" w:hAnsi="宋体" w:cs="Arial"/>
          <w:b/>
          <w:bCs/>
          <w:sz w:val="36"/>
          <w:szCs w:val="36"/>
        </w:rPr>
      </w:pPr>
    </w:p>
    <w:p>
      <w:pPr>
        <w:ind w:firstLine="723"/>
        <w:jc w:val="center"/>
        <w:rPr>
          <w:rFonts w:ascii="宋体" w:hAnsi="宋体" w:cs="Arial"/>
          <w:b/>
          <w:bCs/>
          <w:sz w:val="36"/>
          <w:szCs w:val="36"/>
        </w:rPr>
      </w:pPr>
    </w:p>
    <w:p>
      <w:pPr>
        <w:ind w:firstLine="723"/>
        <w:jc w:val="center"/>
        <w:rPr>
          <w:rFonts w:ascii="宋体" w:hAnsi="宋体" w:cs="Arial"/>
          <w:b/>
          <w:bCs/>
          <w:sz w:val="36"/>
          <w:szCs w:val="36"/>
        </w:rPr>
      </w:pPr>
    </w:p>
    <w:p>
      <w:pPr>
        <w:ind w:firstLine="723"/>
        <w:jc w:val="center"/>
        <w:rPr>
          <w:rFonts w:ascii="宋体" w:hAnsi="宋体" w:cs="Arial"/>
          <w:b/>
          <w:bCs/>
          <w:sz w:val="36"/>
          <w:szCs w:val="36"/>
        </w:rPr>
      </w:pPr>
      <w:r>
        <w:rPr>
          <w:rFonts w:hint="eastAsia" w:ascii="宋体" w:hAnsi="宋体" w:cs="Arial"/>
          <w:b/>
          <w:bCs/>
          <w:sz w:val="36"/>
          <w:szCs w:val="36"/>
        </w:rPr>
        <w:t>202</w:t>
      </w:r>
      <w:r>
        <w:rPr>
          <w:rFonts w:hint="eastAsia" w:ascii="宋体" w:hAnsi="宋体" w:cs="Arial"/>
          <w:b/>
          <w:bCs/>
          <w:sz w:val="36"/>
          <w:szCs w:val="36"/>
          <w:lang w:val="en-US" w:eastAsia="zh-CN"/>
        </w:rPr>
        <w:t>1</w:t>
      </w:r>
      <w:r>
        <w:rPr>
          <w:rFonts w:hint="eastAsia" w:ascii="宋体" w:hAnsi="宋体" w:cs="Arial"/>
          <w:b/>
          <w:bCs/>
          <w:sz w:val="36"/>
          <w:szCs w:val="36"/>
        </w:rPr>
        <w:t xml:space="preserve">年 </w:t>
      </w:r>
      <w:r>
        <w:rPr>
          <w:rFonts w:hint="eastAsia" w:ascii="宋体" w:hAnsi="宋体" w:cs="Arial"/>
          <w:b/>
          <w:bCs/>
          <w:sz w:val="36"/>
          <w:szCs w:val="36"/>
          <w:lang w:val="en-US" w:eastAsia="zh-CN"/>
        </w:rPr>
        <w:t>7</w:t>
      </w:r>
      <w:r>
        <w:rPr>
          <w:rFonts w:hint="eastAsia" w:ascii="宋体" w:hAnsi="宋体" w:cs="Arial"/>
          <w:b/>
          <w:bCs/>
          <w:sz w:val="36"/>
          <w:szCs w:val="36"/>
        </w:rPr>
        <w:t xml:space="preserve"> 月 </w:t>
      </w:r>
      <w:r>
        <w:rPr>
          <w:rFonts w:hint="eastAsia" w:ascii="宋体" w:hAnsi="宋体" w:cs="Arial"/>
          <w:b/>
          <w:bCs/>
          <w:sz w:val="36"/>
          <w:szCs w:val="36"/>
          <w:lang w:val="en-US" w:eastAsia="zh-CN"/>
        </w:rPr>
        <w:t xml:space="preserve">20 </w:t>
      </w:r>
      <w:r>
        <w:rPr>
          <w:rFonts w:hint="eastAsia" w:ascii="宋体" w:hAnsi="宋体" w:cs="Arial"/>
          <w:b/>
          <w:bCs/>
          <w:sz w:val="36"/>
          <w:szCs w:val="36"/>
        </w:rPr>
        <w:t>日</w:t>
      </w:r>
    </w:p>
    <w:tbl>
      <w:tblPr>
        <w:tblStyle w:val="14"/>
        <w:tblW w:w="0" w:type="auto"/>
        <w:jc w:val="center"/>
        <w:tblLayout w:type="fixed"/>
        <w:tblCellMar>
          <w:top w:w="0" w:type="dxa"/>
          <w:left w:w="108" w:type="dxa"/>
          <w:bottom w:w="0" w:type="dxa"/>
          <w:right w:w="108" w:type="dxa"/>
        </w:tblCellMar>
      </w:tblPr>
      <w:tblGrid>
        <w:gridCol w:w="1792"/>
        <w:gridCol w:w="3102"/>
        <w:gridCol w:w="2109"/>
        <w:gridCol w:w="1645"/>
      </w:tblGrid>
      <w:tr>
        <w:tblPrEx>
          <w:tblCellMar>
            <w:top w:w="0" w:type="dxa"/>
            <w:left w:w="108" w:type="dxa"/>
            <w:bottom w:w="0" w:type="dxa"/>
            <w:right w:w="108" w:type="dxa"/>
          </w:tblCellMar>
        </w:tblPrEx>
        <w:trPr>
          <w:trHeight w:val="550" w:hRule="atLeast"/>
          <w:jc w:val="center"/>
        </w:trPr>
        <w:tc>
          <w:tcPr>
            <w:tcW w:w="8648" w:type="dxa"/>
            <w:gridSpan w:val="4"/>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方正小标宋简体"/>
                <w:color w:val="000000"/>
                <w:sz w:val="36"/>
              </w:rPr>
            </w:pPr>
            <w:r>
              <w:rPr>
                <w:rFonts w:hint="eastAsia" w:ascii="黑体" w:hAnsi="黑体" w:eastAsia="黑体" w:cs="黑体"/>
                <w:b/>
                <w:bCs/>
                <w:color w:val="000000"/>
                <w:sz w:val="36"/>
              </w:rPr>
              <w:t>项目绩效评价人员</w:t>
            </w:r>
          </w:p>
        </w:tc>
      </w:tr>
      <w:tr>
        <w:tblPrEx>
          <w:tblCellMar>
            <w:top w:w="0" w:type="dxa"/>
            <w:left w:w="108" w:type="dxa"/>
            <w:bottom w:w="0" w:type="dxa"/>
            <w:right w:w="108" w:type="dxa"/>
          </w:tblCellMar>
        </w:tblPrEx>
        <w:trPr>
          <w:trHeight w:val="57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姓名</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单位</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职称/职务</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签名</w:t>
            </w: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熊坤</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部门经理</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熊清</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研究员</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default" w:ascii="宋体" w:hAnsi="宋体" w:eastAsia="宋体" w:cs="Times New Roman"/>
                <w:b w:val="0"/>
                <w:i w:val="0"/>
                <w:snapToGrid/>
                <w:color w:val="000000"/>
                <w:kern w:val="2"/>
                <w:sz w:val="22"/>
                <w:szCs w:val="24"/>
                <w:u w:val="none"/>
                <w:lang w:val="en-US" w:eastAsia="zh-CN" w:bidi="ar-SA"/>
              </w:rPr>
            </w:pPr>
            <w:r>
              <w:rPr>
                <w:rFonts w:hint="eastAsia" w:ascii="宋体" w:hAnsi="宋体" w:cs="Times New Roman"/>
                <w:b w:val="0"/>
                <w:i w:val="0"/>
                <w:snapToGrid/>
                <w:color w:val="000000"/>
                <w:kern w:val="2"/>
                <w:sz w:val="22"/>
                <w:szCs w:val="24"/>
                <w:u w:val="none"/>
                <w:lang w:val="en-US" w:eastAsia="zh-CN" w:bidi="ar-SA"/>
              </w:rPr>
              <w:t>姚贞越</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研究员</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r>
              <w:rPr>
                <w:rFonts w:ascii="宋体" w:hAnsi="宋体"/>
                <w:color w:val="000000"/>
                <w:sz w:val="22"/>
              </w:rPr>
              <w:t xml:space="preserve">  </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r>
              <w:rPr>
                <w:rFonts w:ascii="宋体" w:hAnsi="宋体"/>
                <w:color w:val="000000"/>
                <w:sz w:val="22"/>
              </w:rPr>
              <w:t xml:space="preserve"> </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114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left"/>
              <w:textAlignment w:val="center"/>
              <w:rPr>
                <w:rFonts w:ascii="宋体" w:hAnsi="宋体"/>
                <w:color w:val="000000"/>
                <w:sz w:val="22"/>
              </w:rPr>
            </w:pPr>
            <w:r>
              <w:rPr>
                <w:rFonts w:ascii="宋体" w:hAnsi="宋体"/>
                <w:color w:val="000000"/>
                <w:sz w:val="22"/>
              </w:rPr>
              <w:t>评价组组长</w:t>
            </w:r>
          </w:p>
          <w:p>
            <w:pPr>
              <w:autoSpaceDN w:val="0"/>
              <w:ind w:firstLine="0" w:firstLineChars="0"/>
              <w:jc w:val="left"/>
              <w:textAlignment w:val="center"/>
              <w:rPr>
                <w:rFonts w:ascii="宋体" w:hAnsi="宋体"/>
                <w:color w:val="000000"/>
                <w:sz w:val="22"/>
              </w:rPr>
            </w:pPr>
            <w:r>
              <w:rPr>
                <w:rFonts w:ascii="宋体" w:hAnsi="宋体"/>
                <w:color w:val="000000"/>
                <w:sz w:val="22"/>
              </w:rPr>
              <w:t>(签名):</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754"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4"/>
              </w:rPr>
            </w:pPr>
            <w:r>
              <w:rPr>
                <w:rFonts w:ascii="宋体" w:hAnsi="宋体"/>
                <w:color w:val="000000"/>
                <w:sz w:val="24"/>
              </w:rPr>
              <w:t xml:space="preserve">      年    月    日</w:t>
            </w:r>
          </w:p>
        </w:tc>
      </w:tr>
      <w:tr>
        <w:tblPrEx>
          <w:tblCellMar>
            <w:top w:w="0" w:type="dxa"/>
            <w:left w:w="108" w:type="dxa"/>
            <w:bottom w:w="0" w:type="dxa"/>
            <w:right w:w="108" w:type="dxa"/>
          </w:tblCellMar>
        </w:tblPrEx>
        <w:trPr>
          <w:trHeight w:val="975"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left"/>
              <w:textAlignment w:val="center"/>
              <w:rPr>
                <w:rFonts w:ascii="宋体" w:hAnsi="宋体"/>
                <w:color w:val="000000"/>
                <w:sz w:val="22"/>
              </w:rPr>
            </w:pPr>
            <w:r>
              <w:rPr>
                <w:rFonts w:ascii="宋体" w:hAnsi="宋体"/>
                <w:color w:val="000000"/>
                <w:sz w:val="22"/>
              </w:rPr>
              <w:t>中介机构</w:t>
            </w:r>
          </w:p>
          <w:p>
            <w:pPr>
              <w:autoSpaceDN w:val="0"/>
              <w:ind w:firstLine="0" w:firstLineChars="0"/>
              <w:jc w:val="left"/>
              <w:textAlignment w:val="center"/>
              <w:rPr>
                <w:rFonts w:ascii="宋体" w:hAnsi="宋体"/>
                <w:color w:val="000000"/>
                <w:sz w:val="22"/>
              </w:rPr>
            </w:pPr>
            <w:r>
              <w:rPr>
                <w:rFonts w:ascii="宋体" w:hAnsi="宋体"/>
                <w:color w:val="000000"/>
                <w:sz w:val="22"/>
              </w:rPr>
              <w:t>（盖章）:</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754"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4"/>
              </w:rPr>
            </w:pPr>
            <w:r>
              <w:rPr>
                <w:rFonts w:ascii="宋体" w:hAnsi="宋体"/>
                <w:color w:val="000000"/>
                <w:sz w:val="24"/>
              </w:rPr>
              <w:t xml:space="preserve">      年    月    日</w:t>
            </w:r>
          </w:p>
        </w:tc>
      </w:tr>
      <w:tr>
        <w:tblPrEx>
          <w:tblCellMar>
            <w:top w:w="0" w:type="dxa"/>
            <w:left w:w="108" w:type="dxa"/>
            <w:bottom w:w="0" w:type="dxa"/>
            <w:right w:w="108" w:type="dxa"/>
          </w:tblCellMar>
        </w:tblPrEx>
        <w:trPr>
          <w:trHeight w:val="900" w:hRule="atLeast"/>
          <w:jc w:val="center"/>
        </w:trPr>
        <w:tc>
          <w:tcPr>
            <w:tcW w:w="8648" w:type="dxa"/>
            <w:gridSpan w:val="4"/>
            <w:tcBorders>
              <w:top w:val="single" w:color="000000" w:sz="4" w:space="0"/>
            </w:tcBorders>
            <w:vAlign w:val="center"/>
          </w:tcPr>
          <w:p>
            <w:pPr>
              <w:autoSpaceDN w:val="0"/>
              <w:ind w:firstLine="0" w:firstLineChars="0"/>
              <w:jc w:val="left"/>
              <w:textAlignment w:val="bottom"/>
              <w:rPr>
                <w:rFonts w:ascii="宋体" w:hAnsi="宋体"/>
                <w:color w:val="000000"/>
                <w:sz w:val="24"/>
              </w:rPr>
            </w:pPr>
            <w:r>
              <w:rPr>
                <w:rFonts w:ascii="宋体" w:hAnsi="宋体"/>
                <w:color w:val="000000"/>
                <w:sz w:val="24"/>
              </w:rPr>
              <w:t>注：1.纳入部门评价的项目须填写此表，自评项目无须填写；</w:t>
            </w:r>
            <w:r>
              <w:rPr>
                <w:rFonts w:ascii="宋体" w:hAnsi="宋体"/>
                <w:color w:val="000000"/>
                <w:sz w:val="24"/>
              </w:rPr>
              <w:br w:type="textWrapping"/>
            </w:r>
            <w:r>
              <w:rPr>
                <w:rFonts w:ascii="宋体" w:hAnsi="宋体"/>
                <w:color w:val="000000"/>
                <w:sz w:val="24"/>
              </w:rPr>
              <w:t xml:space="preserve">    2.评价小组须不低于3人，如未委托第三方中介机构，则最后一行无需填写；</w:t>
            </w:r>
            <w:r>
              <w:rPr>
                <w:rFonts w:ascii="宋体" w:hAnsi="宋体"/>
                <w:color w:val="000000"/>
                <w:sz w:val="24"/>
              </w:rPr>
              <w:br w:type="textWrapping"/>
            </w:r>
            <w:r>
              <w:rPr>
                <w:rFonts w:ascii="宋体" w:hAnsi="宋体"/>
                <w:color w:val="000000"/>
                <w:sz w:val="24"/>
              </w:rPr>
              <w:t xml:space="preserve">    3.所有评价人员必须亲笔签名，否则评价无效。</w:t>
            </w:r>
          </w:p>
        </w:tc>
      </w:tr>
    </w:tbl>
    <w:p>
      <w:pPr>
        <w:ind w:firstLine="560"/>
        <w:jc w:val="center"/>
        <w:rPr>
          <w:rFonts w:ascii="仿宋_GB2312"/>
          <w:szCs w:val="30"/>
        </w:rPr>
        <w:sectPr>
          <w:headerReference r:id="rId6" w:type="first"/>
          <w:headerReference r:id="rId5" w:type="default"/>
          <w:footerReference r:id="rId7" w:type="default"/>
          <w:pgSz w:w="11906" w:h="16838"/>
          <w:pgMar w:top="1928" w:right="1531" w:bottom="1701" w:left="1531" w:header="850" w:footer="992" w:gutter="0"/>
          <w:cols w:space="720" w:num="1"/>
          <w:titlePg/>
          <w:docGrid w:type="lines" w:linePitch="408" w:charSpace="0"/>
        </w:sectPr>
      </w:pPr>
    </w:p>
    <w:sdt>
      <w:sdtPr>
        <w:rPr>
          <w:rFonts w:ascii="宋体" w:hAnsi="宋体" w:eastAsia="宋体" w:cs="Times New Roman"/>
          <w:kern w:val="2"/>
          <w:sz w:val="21"/>
          <w:szCs w:val="24"/>
          <w:lang w:val="en-US" w:eastAsia="zh-CN" w:bidi="ar-SA"/>
        </w:rPr>
        <w:id w:val="147453246"/>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目</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录</w:t>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TOC \o "1-2" \h \u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_Toc1080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前  言</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_Toc1080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_Toc28545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一、基本情况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_Toc28545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_Toc11595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（一）项目概况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_Toc11595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_Toc6694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（二）项目绩效目标</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_Toc6694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_Toc12634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二、绩效评价工作开展情况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_Toc12634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_Toc8484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（一）绩效评价目的、对象和范围</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_Toc8484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_Toc1416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（二）绩效评价原则、评价指标体系、评价方法、评价标准等</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_Toc1416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_Toc323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 绩效评价工作过程</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_Toc323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_Toc1742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三、综合评价情况及评价结论</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_Toc1742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_Toc29094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en-US" w:eastAsia="zh-CN"/>
            </w:rPr>
            <w:t>（一）综合评价情况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_Toc29094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_Toc19879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评价结论</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_Toc19879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17</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_Toc30515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四、绩效评价指标分析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_Toc30515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_Toc18515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（一）项目决策情况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_Toc18515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_Toc6233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（二）项目过程情况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_Toc6233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_Toc6149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（三）项目产出情况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_Toc6149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_Toc23542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（四）项目效益情况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_Toc23542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_Toc20664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五、主要经验及做法、存在的问题及原因分析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_Toc20664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_Toc21601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（一）主要经验及做法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_Toc21601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_Toc30852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（二）存在的问题及原因分析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_Toc30852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_Toc16368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六、有关建议</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_Toc16368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_Toc19103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一</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制定更新一套完整的业务管理制度，促进制度落实</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_Toc19103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_Toc21097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en-US" w:eastAsia="zh-CN"/>
            </w:rPr>
            <w:t>（二）规范合同签订管理工作，避免法律风险</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_Toc21097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1"/>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_Toc9078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en-US" w:eastAsia="zh-CN"/>
            </w:rPr>
            <w:t>（三）做好财务监控，规范项目入账</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_Toc9078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_Toc5951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七、其他需要说明的问题</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_Toc5951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keepNext w:val="0"/>
            <w:keepLines w:val="0"/>
            <w:pageBreakBefore w:val="0"/>
            <w:kinsoku/>
            <w:wordWrap/>
            <w:overflowPunct/>
            <w:topLinePunct w:val="0"/>
            <w:autoSpaceDE/>
            <w:autoSpaceDN/>
            <w:bidi w:val="0"/>
            <w:adjustRightInd/>
            <w:snapToGrid/>
            <w:spacing w:line="300" w:lineRule="auto"/>
            <w:textAlignment w:val="auto"/>
          </w:pPr>
          <w:r>
            <w:rPr>
              <w:rFonts w:hint="eastAsia" w:ascii="宋体" w:hAnsi="宋体" w:eastAsia="宋体" w:cs="宋体"/>
              <w:b w:val="0"/>
              <w:bCs w:val="0"/>
              <w:sz w:val="28"/>
              <w:szCs w:val="28"/>
            </w:rPr>
            <w:fldChar w:fldCharType="end"/>
          </w:r>
        </w:p>
      </w:sdtContent>
    </w:sd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hAnsi="黑体" w:eastAsia="黑体" w:cs="黑体"/>
          <w:b/>
          <w:bCs/>
          <w:sz w:val="32"/>
          <w:szCs w:val="32"/>
        </w:rPr>
        <w:sectPr>
          <w:headerReference r:id="rId8" w:type="default"/>
          <w:footerReference r:id="rId9" w:type="default"/>
          <w:pgSz w:w="11906" w:h="16838"/>
          <w:pgMar w:top="1928" w:right="1531" w:bottom="1701" w:left="1531" w:header="850" w:footer="992" w:gutter="0"/>
          <w:pgNumType w:start="1"/>
          <w:cols w:space="720" w:num="1"/>
          <w:docGrid w:type="lines" w:linePitch="408" w:charSpace="0"/>
        </w:sectPr>
      </w:pPr>
      <w:bookmarkStart w:id="0" w:name="_Toc108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ascii="黑体" w:hAnsi="黑体" w:eastAsia="黑体" w:cs="黑体"/>
          <w:b/>
          <w:bCs/>
          <w:sz w:val="32"/>
          <w:szCs w:val="32"/>
        </w:rPr>
      </w:pPr>
      <w:r>
        <w:rPr>
          <w:rFonts w:hint="eastAsia" w:ascii="黑体" w:hAnsi="黑体" w:eastAsia="黑体" w:cs="黑体"/>
          <w:b/>
          <w:bCs/>
          <w:sz w:val="32"/>
          <w:szCs w:val="32"/>
        </w:rPr>
        <w:t>前  言</w:t>
      </w:r>
      <w:bookmarkEnd w:id="0"/>
    </w:p>
    <w:p>
      <w:pPr>
        <w:ind w:firstLine="560"/>
        <w:rPr>
          <w:rFonts w:hint="eastAsia" w:ascii="宋体" w:hAnsi="宋体" w:cs="宋体"/>
        </w:rPr>
      </w:pPr>
      <w:r>
        <w:rPr>
          <w:rFonts w:hint="eastAsia" w:ascii="宋体" w:hAnsi="宋体" w:cs="宋体"/>
        </w:rPr>
        <w:t>财政支出绩效评价是财政管理体制改革的重大课题，也是建设廉洁高效政府的关键措施。通过绩效评价，可以强化支出责任，优化资源配置，提高财政资金的使用效益。预算绩效管理是一种以支出结果为导向的预算管理模式，是政府绩效管理的重要组成部分，是预算绩效管理的重要手段</w:t>
      </w:r>
      <w:r>
        <w:rPr>
          <w:rFonts w:hint="eastAsia" w:ascii="宋体" w:hAnsi="宋体" w:cs="宋体"/>
          <w:lang w:eastAsia="zh-CN"/>
        </w:rPr>
        <w:t>，</w:t>
      </w:r>
      <w:r>
        <w:rPr>
          <w:rFonts w:hint="eastAsia" w:ascii="宋体" w:hAnsi="宋体" w:cs="宋体"/>
        </w:rPr>
        <w:t>结合社会经济发展需要和相关标准，运用合理的绩效评价目标，对财政资金的经济性、效率性和效益性做出客观公正的评判。</w:t>
      </w:r>
    </w:p>
    <w:p>
      <w:pPr>
        <w:ind w:firstLine="560"/>
        <w:rPr>
          <w:rFonts w:hint="eastAsia" w:ascii="宋体" w:hAnsi="宋体" w:cs="宋体"/>
        </w:rPr>
      </w:pPr>
      <w:r>
        <w:rPr>
          <w:rFonts w:hint="eastAsia" w:ascii="宋体" w:hAnsi="宋体" w:cs="宋体"/>
        </w:rPr>
        <w:t>为加强</w:t>
      </w:r>
      <w:r>
        <w:rPr>
          <w:rFonts w:hint="eastAsia" w:ascii="宋体" w:hAnsi="宋体" w:cs="宋体"/>
          <w:lang w:val="en-US" w:eastAsia="zh-CN"/>
        </w:rPr>
        <w:t>市政</w:t>
      </w:r>
      <w:r>
        <w:rPr>
          <w:rFonts w:hint="eastAsia" w:ascii="宋体" w:hAnsi="宋体" w:cs="宋体"/>
        </w:rPr>
        <w:t>管理工作，妥善解决群众关心关注的</w:t>
      </w:r>
      <w:r>
        <w:rPr>
          <w:rFonts w:hint="eastAsia" w:ascii="宋体" w:hAnsi="宋体" w:cs="宋体"/>
          <w:lang w:val="en-US" w:eastAsia="zh-CN"/>
        </w:rPr>
        <w:t>市政</w:t>
      </w:r>
      <w:r>
        <w:rPr>
          <w:rFonts w:hint="eastAsia" w:ascii="宋体" w:hAnsi="宋体" w:cs="宋体"/>
        </w:rPr>
        <w:t>管理热点难题，不断提升城市环境品质内涵和品位形象，更好适应</w:t>
      </w:r>
      <w:r>
        <w:rPr>
          <w:rFonts w:hint="eastAsia" w:ascii="宋体" w:hAnsi="宋体" w:cs="宋体"/>
          <w:lang w:val="en-US" w:eastAsia="zh-CN"/>
        </w:rPr>
        <w:t>东湖</w:t>
      </w:r>
      <w:r>
        <w:rPr>
          <w:rFonts w:hint="eastAsia" w:ascii="宋体" w:hAnsi="宋体" w:cs="宋体"/>
        </w:rPr>
        <w:t>区经济社会快速发展要求，</w:t>
      </w:r>
      <w:r>
        <w:rPr>
          <w:rFonts w:hint="eastAsia" w:ascii="宋体" w:hAnsi="宋体" w:cs="宋体"/>
          <w:lang w:val="en-US" w:eastAsia="zh-CN"/>
        </w:rPr>
        <w:t>南昌市东湖区市政养护管理所</w:t>
      </w:r>
      <w:r>
        <w:rPr>
          <w:rFonts w:hint="eastAsia" w:ascii="宋体" w:hAnsi="宋体" w:cs="宋体"/>
        </w:rPr>
        <w:t>申报设立了</w:t>
      </w:r>
      <w:r>
        <w:rPr>
          <w:rFonts w:hint="eastAsia" w:ascii="宋体" w:hAnsi="宋体" w:cs="宋体"/>
          <w:lang w:val="en-US" w:eastAsia="zh-CN"/>
        </w:rPr>
        <w:t>市政养护经费</w:t>
      </w:r>
      <w:r>
        <w:rPr>
          <w:rFonts w:hint="eastAsia" w:ascii="宋体" w:hAnsi="宋体" w:cs="宋体"/>
        </w:rPr>
        <w:t>项目，用于开展全区各类</w:t>
      </w:r>
      <w:r>
        <w:rPr>
          <w:rFonts w:hint="eastAsia" w:ascii="宋体" w:hAnsi="宋体" w:cs="宋体"/>
          <w:lang w:val="en-US" w:eastAsia="zh-CN"/>
        </w:rPr>
        <w:t>市政</w:t>
      </w:r>
      <w:r>
        <w:rPr>
          <w:rFonts w:hint="eastAsia" w:ascii="宋体" w:hAnsi="宋体" w:cs="宋体"/>
        </w:rPr>
        <w:t>设施管护工作。</w:t>
      </w:r>
    </w:p>
    <w:p>
      <w:pPr>
        <w:ind w:firstLine="560"/>
        <w:rPr>
          <w:rFonts w:hint="eastAsia" w:ascii="宋体" w:hAnsi="宋体" w:cs="宋体"/>
        </w:rPr>
      </w:pPr>
      <w:r>
        <w:rPr>
          <w:rFonts w:hint="eastAsia" w:ascii="宋体" w:hAnsi="宋体" w:cs="宋体"/>
        </w:rPr>
        <w:t>为深入贯彻落实《预算法》文件精神，认真履行全面实施绩效管理的“十九大”精神，强化预算支出责任，提高财政资金使用效益，根据</w:t>
      </w:r>
      <w:r>
        <w:rPr>
          <w:rFonts w:hint="eastAsia" w:ascii="宋体" w:hAnsi="宋体" w:cs="宋体"/>
          <w:szCs w:val="28"/>
        </w:rPr>
        <w:t>《中共中央 国务院关于全面实施预算绩效管理的意见》、《项目支出绩效管理评价办法》、</w:t>
      </w:r>
      <w:r>
        <w:rPr>
          <w:rFonts w:hint="eastAsia" w:ascii="宋体" w:hAnsi="宋体" w:cs="宋体"/>
        </w:rPr>
        <w:t>《中共江西省委 江西省人民政府关于全面实施预算绩效管理的实施意见》、</w:t>
      </w:r>
      <w:r>
        <w:rPr>
          <w:rFonts w:hint="eastAsia" w:ascii="宋体" w:hAnsi="宋体" w:cs="宋体"/>
          <w:szCs w:val="28"/>
        </w:rPr>
        <w:t>《江西省财政厅关于贯彻落实〈中共江西省委 江西省人民政府关于全面实施预算绩效管理的实施意见〉若干措施的通知》</w:t>
      </w:r>
      <w:r>
        <w:rPr>
          <w:rFonts w:hint="eastAsia" w:ascii="宋体" w:hAnsi="宋体" w:cs="宋体"/>
        </w:rPr>
        <w:t>、《南昌市委 南昌市人民政府关于全面实施预算绩效管理的实施意见》、《南昌市财政局关于开展2021年度预算绩效管理有关工作的通知》（洪财办[2021]7号）和《东湖区财政局关于开展2021年度预算绩效管理有关工作的通知》（东财字[2021]14号）等文件的要求，开展本次绩效评价工作。</w:t>
      </w:r>
    </w:p>
    <w:p>
      <w:pPr>
        <w:ind w:firstLine="560"/>
        <w:rPr>
          <w:rFonts w:ascii="宋体" w:hAnsi="宋体" w:cs="宋体"/>
        </w:rPr>
      </w:pPr>
      <w:r>
        <w:rPr>
          <w:rFonts w:hint="eastAsia" w:ascii="宋体" w:hAnsi="宋体" w:cs="宋体"/>
        </w:rPr>
        <w:t>为了解</w:t>
      </w:r>
      <w:r>
        <w:rPr>
          <w:rFonts w:hint="eastAsia" w:ascii="宋体" w:hAnsi="宋体" w:cs="宋体"/>
          <w:lang w:val="en-US" w:eastAsia="zh-CN"/>
        </w:rPr>
        <w:t>东湖区城建局市政养护工作经费</w:t>
      </w:r>
      <w:r>
        <w:rPr>
          <w:rFonts w:hint="eastAsia" w:ascii="宋体" w:hAnsi="宋体" w:cs="宋体"/>
          <w:szCs w:val="28"/>
        </w:rPr>
        <w:t>项</w:t>
      </w:r>
      <w:r>
        <w:rPr>
          <w:rFonts w:hint="eastAsia" w:ascii="宋体" w:hAnsi="宋体" w:cs="宋体"/>
        </w:rPr>
        <w:t>目的产出和效益，以及资金使用的合理性和规范性，根据绩效评价有关文件及相关规定，按照绩效评价工作的一般准则，采用因素分析法、数据对比法等评价方法，同时辅以问卷调查、深度访谈、财务核查等证据收集方法，对“</w:t>
      </w:r>
      <w:r>
        <w:rPr>
          <w:rFonts w:hint="eastAsia" w:ascii="宋体" w:hAnsi="宋体" w:cs="宋体"/>
          <w:lang w:eastAsia="zh-CN"/>
        </w:rPr>
        <w:t>市政养护工作经费项目</w:t>
      </w:r>
      <w:r>
        <w:rPr>
          <w:rFonts w:hint="eastAsia" w:ascii="宋体" w:hAnsi="宋体" w:cs="宋体"/>
        </w:rPr>
        <w:t>”的使用及其效果实施绩效评价并形成绩效评价报告。现将评价情况报告如下：</w:t>
      </w:r>
    </w:p>
    <w:p>
      <w:pPr>
        <w:pStyle w:val="2"/>
        <w:ind w:firstLine="560"/>
        <w:rPr>
          <w:rFonts w:ascii="宋体" w:hAnsi="宋体" w:cs="宋体"/>
        </w:rPr>
      </w:pPr>
    </w:p>
    <w:p>
      <w:pPr>
        <w:pStyle w:val="2"/>
        <w:ind w:firstLine="560"/>
        <w:rPr>
          <w:rFonts w:ascii="宋体" w:hAnsi="宋体" w:cs="宋体"/>
        </w:rPr>
      </w:pPr>
    </w:p>
    <w:p>
      <w:pPr>
        <w:pStyle w:val="3"/>
        <w:spacing w:before="0"/>
        <w:outlineLvl w:val="9"/>
        <w:rPr>
          <w:rFonts w:hint="eastAsia"/>
          <w:szCs w:val="36"/>
        </w:rPr>
        <w:sectPr>
          <w:pgSz w:w="11906" w:h="16838"/>
          <w:pgMar w:top="1928" w:right="1531" w:bottom="1701" w:left="1531" w:header="850" w:footer="992" w:gutter="0"/>
          <w:pgNumType w:start="1"/>
          <w:cols w:space="720" w:num="1"/>
          <w:docGrid w:type="lines" w:linePitch="408" w:charSpace="0"/>
        </w:sectPr>
      </w:pPr>
      <w:bookmarkStart w:id="1" w:name="_Toc11605"/>
    </w:p>
    <w:p>
      <w:pPr>
        <w:pStyle w:val="3"/>
        <w:spacing w:before="0"/>
        <w:rPr>
          <w:szCs w:val="36"/>
        </w:rPr>
      </w:pPr>
      <w:bookmarkStart w:id="2" w:name="_Toc28545"/>
      <w:r>
        <w:rPr>
          <w:rFonts w:hint="eastAsia"/>
          <w:szCs w:val="36"/>
        </w:rPr>
        <w:t>一、基本情况</w:t>
      </w:r>
      <w:bookmarkEnd w:id="1"/>
      <w:bookmarkEnd w:id="2"/>
    </w:p>
    <w:p>
      <w:pPr>
        <w:pStyle w:val="4"/>
        <w:spacing w:before="204" w:after="204"/>
      </w:pPr>
      <w:bookmarkStart w:id="3" w:name="_Toc11595"/>
      <w:bookmarkStart w:id="4" w:name="_Toc21924"/>
      <w:r>
        <w:rPr>
          <w:rFonts w:hint="eastAsia"/>
        </w:rPr>
        <w:t>（一）项目概况</w:t>
      </w:r>
      <w:bookmarkEnd w:id="3"/>
      <w:bookmarkEnd w:id="4"/>
    </w:p>
    <w:p>
      <w:pPr>
        <w:pStyle w:val="5"/>
        <w:rPr>
          <w:rFonts w:hint="eastAsia"/>
        </w:rPr>
      </w:pPr>
      <w:bookmarkStart w:id="5" w:name="_Toc14003"/>
      <w:r>
        <w:rPr>
          <w:rFonts w:hint="eastAsia"/>
        </w:rPr>
        <w:t>1、项目背景</w:t>
      </w:r>
      <w:bookmarkEnd w:id="5"/>
    </w:p>
    <w:p>
      <w:pPr>
        <w:rPr>
          <w:rFonts w:hint="eastAsia"/>
        </w:rPr>
      </w:pPr>
      <w:r>
        <w:rPr>
          <w:rFonts w:hint="eastAsia"/>
        </w:rPr>
        <w:t>随着城市经济的不断发展、人民生活水平的不断提高，人们对城市的</w:t>
      </w:r>
      <w:r>
        <w:rPr>
          <w:rFonts w:hint="eastAsia"/>
          <w:lang w:val="en-US" w:eastAsia="zh-CN"/>
        </w:rPr>
        <w:t>设施</w:t>
      </w:r>
      <w:r>
        <w:rPr>
          <w:rFonts w:hint="eastAsia"/>
        </w:rPr>
        <w:t>便利程度、环境优美度和人与自然和谐程度等提出了更高的要求。</w:t>
      </w:r>
      <w:r>
        <w:rPr>
          <w:rFonts w:hint="eastAsia"/>
          <w:lang w:val="en-US" w:eastAsia="zh-CN"/>
        </w:rPr>
        <w:t>市政设施</w:t>
      </w:r>
      <w:r>
        <w:rPr>
          <w:rFonts w:hint="eastAsia"/>
        </w:rPr>
        <w:t>维护管理水平直接或间接地影响着这些因素，从而决定了城市形象。在城市建设过程中，正确处理好城市环境与城市化进程的关系，成为城市化健康发展的重要环节。为抓好设施管护</w:t>
      </w:r>
      <w:r>
        <w:rPr>
          <w:rFonts w:hint="eastAsia"/>
          <w:lang w:val="en-US" w:eastAsia="zh-CN"/>
        </w:rPr>
        <w:t>和道路养护等</w:t>
      </w:r>
      <w:r>
        <w:rPr>
          <w:rFonts w:hint="eastAsia"/>
        </w:rPr>
        <w:t>工作，推动</w:t>
      </w:r>
      <w:r>
        <w:rPr>
          <w:rFonts w:hint="eastAsia"/>
          <w:lang w:val="en-US" w:eastAsia="zh-CN"/>
        </w:rPr>
        <w:t>东湖</w:t>
      </w:r>
      <w:r>
        <w:rPr>
          <w:rFonts w:hint="eastAsia"/>
        </w:rPr>
        <w:t>区城市管理精细化、常态化、长效化，区</w:t>
      </w:r>
      <w:r>
        <w:rPr>
          <w:rFonts w:hint="eastAsia"/>
          <w:lang w:val="en-US" w:eastAsia="zh-CN"/>
        </w:rPr>
        <w:t>城市建设局所属单位市政养护管理所</w:t>
      </w:r>
      <w:r>
        <w:rPr>
          <w:rFonts w:hint="eastAsia"/>
        </w:rPr>
        <w:t>申报设立了</w:t>
      </w:r>
      <w:r>
        <w:rPr>
          <w:rFonts w:hint="eastAsia"/>
          <w:lang w:val="en-US" w:eastAsia="zh-CN"/>
        </w:rPr>
        <w:t>市政养护工作经费</w:t>
      </w:r>
      <w:r>
        <w:rPr>
          <w:rFonts w:hint="eastAsia"/>
        </w:rPr>
        <w:t>项目，用于加强城市道路</w:t>
      </w:r>
      <w:r>
        <w:rPr>
          <w:rFonts w:hint="eastAsia"/>
          <w:lang w:val="en-US" w:eastAsia="zh-CN"/>
        </w:rPr>
        <w:t>设施和路灯</w:t>
      </w:r>
      <w:r>
        <w:rPr>
          <w:rFonts w:hint="eastAsia"/>
        </w:rPr>
        <w:t>等设施全周期管护。</w:t>
      </w:r>
    </w:p>
    <w:p>
      <w:pPr>
        <w:pStyle w:val="5"/>
        <w:rPr>
          <w:rFonts w:hint="eastAsia"/>
        </w:rPr>
      </w:pPr>
      <w:bookmarkStart w:id="6" w:name="_Toc10692"/>
      <w:r>
        <w:rPr>
          <w:rFonts w:hint="eastAsia"/>
        </w:rPr>
        <w:t>2、主要内容及实施情况</w:t>
      </w:r>
      <w:bookmarkEnd w:id="6"/>
    </w:p>
    <w:p>
      <w:pPr>
        <w:bidi w:val="0"/>
        <w:rPr>
          <w:rFonts w:hint="default"/>
          <w:lang w:val="en-US" w:eastAsia="zh-CN"/>
        </w:rPr>
      </w:pPr>
      <w:bookmarkStart w:id="7" w:name="_Toc24901"/>
      <w:r>
        <w:rPr>
          <w:rFonts w:hint="eastAsia"/>
          <w:lang w:val="en-US" w:eastAsia="zh-CN"/>
        </w:rPr>
        <w:t>由于南昌市东湖区市政养护管理所未就市政养护管理工作制定一套完整的工作制度，无法确定完整的工作内容，故市政养护工作经费项目的主要内容仅能结合区市政养护管理所提供的项目支出明细账和各分散的工作管理制度确定，包括：开展辖区防汛排涝工作、开展道路日常养护工作（包含井盖更换、道路维修、下水道清掏、道路巡查）和路灯管护工作。</w:t>
      </w:r>
    </w:p>
    <w:p>
      <w:pPr>
        <w:pStyle w:val="5"/>
        <w:rPr>
          <w:rFonts w:hint="eastAsia"/>
        </w:rPr>
      </w:pPr>
      <w:r>
        <w:rPr>
          <w:rFonts w:hint="eastAsia"/>
        </w:rPr>
        <w:t>3、资金投入和使用情况</w:t>
      </w:r>
      <w:bookmarkEnd w:id="7"/>
    </w:p>
    <w:p>
      <w:pPr>
        <w:bidi w:val="0"/>
        <w:rPr>
          <w:rFonts w:hint="eastAsia"/>
          <w:lang w:val="en-US" w:eastAsia="zh-CN"/>
        </w:rPr>
      </w:pPr>
      <w:r>
        <w:rPr>
          <w:rFonts w:hint="eastAsia"/>
          <w:lang w:val="en-US" w:eastAsia="zh-CN"/>
        </w:rPr>
        <w:t>市政养护工作经费项目预算安排360万元，其中包含道路养护经费246.6万元，市下划道路养护经费113.4万元，项目资金按季度拨付，第四季度资金实际于2021年拨付。</w:t>
      </w:r>
    </w:p>
    <w:p>
      <w:pPr>
        <w:bidi w:val="0"/>
        <w:rPr>
          <w:rFonts w:hint="eastAsia"/>
          <w:lang w:val="en-US" w:eastAsia="zh-CN"/>
        </w:rPr>
      </w:pPr>
      <w:r>
        <w:rPr>
          <w:rFonts w:hint="eastAsia"/>
          <w:lang w:val="en-US" w:eastAsia="zh-CN"/>
        </w:rPr>
        <w:t>进行财务核查时发现该项目辅助明细账未能完全反映项目支出情况，同时存在部分归属于项目支出的资金未纳入核算，以及部分不属于项目的支出纳入项目辅助明细账核算，原因</w:t>
      </w:r>
      <w:bookmarkStart w:id="67" w:name="_GoBack"/>
      <w:bookmarkEnd w:id="67"/>
      <w:r>
        <w:rPr>
          <w:rFonts w:hint="eastAsia"/>
          <w:lang w:val="en-US" w:eastAsia="zh-CN"/>
        </w:rPr>
        <w:t>主要是市政所采取报账制，主管局核算分中心代其记账，未按市政所提供的报账单进行记账。</w:t>
      </w:r>
    </w:p>
    <w:p>
      <w:pPr>
        <w:bidi w:val="0"/>
        <w:rPr>
          <w:rFonts w:hint="eastAsia"/>
          <w:lang w:val="en-US" w:eastAsia="zh-CN"/>
        </w:rPr>
      </w:pPr>
      <w:r>
        <w:rPr>
          <w:rFonts w:hint="eastAsia"/>
          <w:lang w:val="en-US" w:eastAsia="zh-CN"/>
        </w:rPr>
        <w:t>根据区市政所提供的2020年养护维修经费情况表，项目辅助明细账中扬子洲码头拆除项目工程款二百余万元不属于该项目支出，同时应将路灯养护维修费用纳入项目支出。经区市政所与局核算分中心核对，部分养护材料未纳入项目支出，难以核算，故不在报告中披露。经调整后可核算的资金使用情况如下表所示：</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2"/>
          <w:lang w:val="en-US" w:eastAsia="zh-CN"/>
        </w:rPr>
      </w:pPr>
      <w:r>
        <w:rPr>
          <w:rFonts w:hint="eastAsia" w:ascii="楷体" w:hAnsi="楷体" w:eastAsia="楷体" w:cs="楷体"/>
          <w:sz w:val="24"/>
          <w:szCs w:val="22"/>
          <w:lang w:val="en-US" w:eastAsia="zh-CN"/>
        </w:rPr>
        <w:t>表1 市政养护工作经费项目资金使用情况表</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right"/>
        <w:textAlignment w:val="auto"/>
        <w:rPr>
          <w:rFonts w:hint="default" w:ascii="楷体" w:hAnsi="楷体" w:eastAsia="楷体" w:cs="楷体"/>
          <w:sz w:val="24"/>
          <w:szCs w:val="22"/>
          <w:lang w:val="en-US" w:eastAsia="zh-CN"/>
        </w:rPr>
      </w:pPr>
      <w:r>
        <w:rPr>
          <w:rFonts w:hint="eastAsia" w:ascii="楷体" w:hAnsi="楷体" w:eastAsia="楷体" w:cs="楷体"/>
          <w:sz w:val="24"/>
          <w:szCs w:val="22"/>
          <w:lang w:val="en-US" w:eastAsia="zh-CN"/>
        </w:rPr>
        <w:t>单位：元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4195"/>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序号</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资金用途</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1</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路灯养护维修费用</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374781.82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2</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养护民工工资</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354701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3</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养护维修余土外运费用</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191352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4</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沥青混凝土款</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187094.2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5</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下水道疏浚等工程款</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606480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6</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电表安装费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44800.41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7</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清掏工人、司机工资及补贴</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143330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8</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数字城管通讯费及补贴</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9</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养护经费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2123998.67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10</w:t>
            </w:r>
          </w:p>
        </w:tc>
        <w:tc>
          <w:tcPr>
            <w:tcW w:w="4195"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其他</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296690.76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0" w:type="dxa"/>
            <w:gridSpan w:val="2"/>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合计</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2"/>
                <w:vertAlign w:val="baseline"/>
                <w:lang w:val="en-US" w:eastAsia="zh-CN"/>
              </w:rPr>
            </w:pPr>
            <w:r>
              <w:rPr>
                <w:rFonts w:hint="eastAsia" w:ascii="楷体" w:hAnsi="楷体" w:eastAsia="楷体" w:cs="楷体"/>
                <w:sz w:val="24"/>
                <w:szCs w:val="22"/>
                <w:vertAlign w:val="baseline"/>
                <w:lang w:val="en-US" w:eastAsia="zh-CN"/>
              </w:rPr>
              <w:t>4329928.86</w:t>
            </w:r>
          </w:p>
        </w:tc>
      </w:tr>
    </w:tbl>
    <w:p>
      <w:pPr>
        <w:bidi w:val="0"/>
        <w:jc w:val="center"/>
        <w:rPr>
          <w:rFonts w:hint="eastAsia" w:ascii="楷体" w:hAnsi="楷体" w:eastAsia="楷体" w:cs="楷体"/>
          <w:sz w:val="24"/>
          <w:szCs w:val="22"/>
          <w:lang w:val="en-US" w:eastAsia="zh-CN"/>
        </w:rPr>
      </w:pPr>
    </w:p>
    <w:p>
      <w:pPr>
        <w:pStyle w:val="4"/>
        <w:spacing w:before="204" w:after="204"/>
      </w:pPr>
      <w:bookmarkStart w:id="8" w:name="_Toc20049"/>
      <w:bookmarkStart w:id="9" w:name="_Toc6694"/>
      <w:r>
        <w:rPr>
          <w:rFonts w:hint="eastAsia"/>
        </w:rPr>
        <w:t>（二）项目绩效目标</w:t>
      </w:r>
      <w:bookmarkEnd w:id="8"/>
      <w:bookmarkEnd w:id="9"/>
    </w:p>
    <w:p>
      <w:pPr>
        <w:pStyle w:val="5"/>
        <w:rPr>
          <w:rFonts w:hint="eastAsia"/>
        </w:rPr>
      </w:pPr>
      <w:bookmarkStart w:id="10" w:name="_Toc15218"/>
      <w:r>
        <w:rPr>
          <w:rFonts w:hint="eastAsia"/>
        </w:rPr>
        <w:t>1、总体目标</w:t>
      </w:r>
      <w:bookmarkEnd w:id="10"/>
    </w:p>
    <w:p>
      <w:pPr>
        <w:bidi w:val="0"/>
        <w:rPr>
          <w:rFonts w:hint="eastAsia"/>
        </w:rPr>
      </w:pPr>
      <w:bookmarkStart w:id="11" w:name="_Toc19061"/>
      <w:r>
        <w:rPr>
          <w:rFonts w:hint="eastAsia"/>
          <w:lang w:val="en-US" w:eastAsia="zh-CN"/>
        </w:rPr>
        <w:t>根据区市政所提供的市政养护工作经费项目预算绩效目标申报表，项目总体目标为：</w:t>
      </w:r>
      <w:r>
        <w:rPr>
          <w:rFonts w:hint="eastAsia"/>
        </w:rPr>
        <w:t>继续加强我区市政道路设施的精细化管理，对辖区内的设施进行排查治理，包括</w:t>
      </w:r>
      <w:r>
        <w:rPr>
          <w:rFonts w:hint="eastAsia"/>
          <w:lang w:eastAsia="zh-CN"/>
        </w:rPr>
        <w:t>：</w:t>
      </w:r>
      <w:r>
        <w:rPr>
          <w:rFonts w:hint="eastAsia"/>
        </w:rPr>
        <w:t>路面、路缘石、人行道、检查井、路灯等设施，发现问题及时处理。确保道路路面平整，无坑槽，井盖齐全无缺损</w:t>
      </w:r>
      <w:r>
        <w:rPr>
          <w:rFonts w:hint="eastAsia"/>
          <w:lang w:eastAsia="zh-CN"/>
        </w:rPr>
        <w:t>，</w:t>
      </w:r>
      <w:r>
        <w:rPr>
          <w:rFonts w:hint="eastAsia"/>
        </w:rPr>
        <w:t>人行道道面平整，铺砌无松动、残缺，缘石、踏步稳定牢固，无障碍盲道设置规范无缺损。同时针对我区管养的道路中有积水的路段，进行积水点改造、排水管网疏通等，</w:t>
      </w:r>
      <w:r>
        <w:rPr>
          <w:rFonts w:hint="eastAsia"/>
          <w:lang w:val="en-US" w:eastAsia="zh-CN"/>
        </w:rPr>
        <w:t>并</w:t>
      </w:r>
      <w:r>
        <w:rPr>
          <w:rFonts w:hint="eastAsia"/>
        </w:rPr>
        <w:t>实施积水“阻改通”工程。</w:t>
      </w:r>
    </w:p>
    <w:p>
      <w:pPr>
        <w:pStyle w:val="5"/>
        <w:rPr>
          <w:rFonts w:hint="eastAsia"/>
        </w:rPr>
      </w:pPr>
      <w:r>
        <w:rPr>
          <w:rFonts w:hint="eastAsia"/>
        </w:rPr>
        <w:t>2、阶段性目标</w:t>
      </w:r>
      <w:bookmarkEnd w:id="11"/>
    </w:p>
    <w:p>
      <w:pPr>
        <w:bidi w:val="0"/>
        <w:rPr>
          <w:rFonts w:hint="eastAsia"/>
        </w:rPr>
      </w:pPr>
      <w:bookmarkStart w:id="12" w:name="_Toc28807"/>
      <w:bookmarkStart w:id="13" w:name="_Toc20405"/>
      <w:bookmarkStart w:id="14" w:name="_Toc22720"/>
      <w:r>
        <w:rPr>
          <w:rFonts w:hint="eastAsia" w:asciiTheme="minorHAnsi" w:eastAsiaTheme="minorEastAsia"/>
          <w:lang w:val="en-US" w:eastAsia="zh-CN"/>
        </w:rPr>
        <w:t>根据区市政所提供的市政养护工作经费项目预算绩效目标申报表，项目阶段性目标为：继续加强我区市政道路设施的精细化管理，对辖区内的设施进行排查治理，包括路面、路缘石、人行道、检查井、路灯等设施，发现问题及时处理。确保道路路面平整，无坑槽，井盖齐全无缺损，人行道道面平整，铺砌无松动、残缺，缘石、踏步稳定牢固，无障碍盲道设置规范无缺损。同时针对我区管养的道路中有积水的路段，进行积水点改造，排水管网疏通等，并实施积水“阻改通”工程。</w:t>
      </w:r>
    </w:p>
    <w:p>
      <w:pPr>
        <w:pStyle w:val="3"/>
      </w:pPr>
      <w:bookmarkStart w:id="15" w:name="_Toc12634"/>
      <w:r>
        <w:rPr>
          <w:rFonts w:hint="eastAsia"/>
        </w:rPr>
        <w:t>二、绩效评价工作开展情况</w:t>
      </w:r>
      <w:bookmarkEnd w:id="12"/>
      <w:bookmarkEnd w:id="13"/>
      <w:bookmarkEnd w:id="15"/>
    </w:p>
    <w:p>
      <w:pPr>
        <w:pStyle w:val="4"/>
        <w:spacing w:before="204" w:after="204"/>
      </w:pPr>
      <w:bookmarkStart w:id="16" w:name="_Toc20940"/>
      <w:bookmarkStart w:id="17" w:name="_Toc7846"/>
      <w:bookmarkStart w:id="18" w:name="_Toc8484"/>
      <w:r>
        <w:rPr>
          <w:rFonts w:hint="eastAsia"/>
        </w:rPr>
        <w:t>（一）绩效评价目的、对象和范围</w:t>
      </w:r>
      <w:bookmarkEnd w:id="16"/>
      <w:bookmarkEnd w:id="17"/>
      <w:bookmarkEnd w:id="18"/>
    </w:p>
    <w:p>
      <w:pPr>
        <w:pStyle w:val="5"/>
      </w:pPr>
      <w:bookmarkStart w:id="19" w:name="_Toc23537"/>
      <w:bookmarkStart w:id="20" w:name="_Toc4598"/>
      <w:r>
        <w:rPr>
          <w:rFonts w:hint="eastAsia"/>
        </w:rPr>
        <w:t>1、绩效评价的目的</w:t>
      </w:r>
      <w:bookmarkEnd w:id="19"/>
      <w:bookmarkEnd w:id="20"/>
    </w:p>
    <w:p>
      <w:pPr>
        <w:ind w:firstLine="560"/>
      </w:pPr>
      <w:r>
        <w:rPr>
          <w:rFonts w:hint="eastAsia"/>
        </w:rPr>
        <w:t>根据财政支出项目设定的预期目标，选择合适的评价指标和标准，运用科学的评价方法，对资金使用全过程及其支出的经济性、效率性和效益性进行客观公正的综合评价</w:t>
      </w:r>
      <w:r>
        <w:rPr>
          <w:rFonts w:hint="eastAsia"/>
          <w:lang w:eastAsia="zh-CN"/>
        </w:rPr>
        <w:t>。</w:t>
      </w:r>
      <w:r>
        <w:rPr>
          <w:rFonts w:hint="eastAsia"/>
        </w:rPr>
        <w:t>以衡量财政资金的使用绩效，分析检验支出项目是否达到预期目标。同时总结经验，分析存在问题，进一步改进和加强资金管理，提高财政资金的使用效益。根据财政绩效评价的要求和项目实际情况，本次绩效评价的目的主要有：</w:t>
      </w:r>
    </w:p>
    <w:p>
      <w:pPr>
        <w:ind w:firstLine="560"/>
      </w:pPr>
      <w:r>
        <w:rPr>
          <w:rFonts w:hint="eastAsia"/>
        </w:rPr>
        <w:t>①了解各项目资金的使用情况、项目成效及社会效益等信息；</w:t>
      </w:r>
    </w:p>
    <w:p>
      <w:pPr>
        <w:ind w:firstLine="560"/>
      </w:pPr>
      <w:r>
        <w:rPr>
          <w:rFonts w:hint="eastAsia"/>
        </w:rPr>
        <w:t>②发现和找出资金使用中或项目管理中的不足和问题，并进行深入研究和分析；</w:t>
      </w:r>
    </w:p>
    <w:p>
      <w:pPr>
        <w:ind w:firstLine="560"/>
      </w:pPr>
      <w:r>
        <w:rPr>
          <w:rFonts w:hint="eastAsia"/>
        </w:rPr>
        <w:t>③针对绩效评价中发现的项目中存在的不足和问题，提出有针对性和可行性的改进建议，为改善后续工作提供有效</w:t>
      </w:r>
      <w:r>
        <w:rPr>
          <w:rFonts w:hint="eastAsia"/>
          <w:lang w:val="en-US" w:eastAsia="zh-CN"/>
        </w:rPr>
        <w:t>的</w:t>
      </w:r>
      <w:r>
        <w:rPr>
          <w:rFonts w:hint="eastAsia"/>
        </w:rPr>
        <w:t>借鉴，以促进资金使用效率的提高和项目效益的增强。</w:t>
      </w:r>
    </w:p>
    <w:p>
      <w:pPr>
        <w:pStyle w:val="5"/>
      </w:pPr>
      <w:bookmarkStart w:id="21" w:name="_Toc24843"/>
      <w:bookmarkStart w:id="22" w:name="_Toc27672"/>
      <w:r>
        <w:rPr>
          <w:rFonts w:hint="eastAsia"/>
        </w:rPr>
        <w:t>2、绩效评价的对象和范围</w:t>
      </w:r>
      <w:bookmarkEnd w:id="21"/>
      <w:bookmarkEnd w:id="22"/>
    </w:p>
    <w:p>
      <w:pPr>
        <w:ind w:firstLine="560"/>
      </w:pPr>
      <w:r>
        <w:rPr>
          <w:rFonts w:hint="eastAsia"/>
        </w:rPr>
        <w:t>本次预算绩效评价的对象和范围为纳入</w:t>
      </w:r>
      <w:r>
        <w:rPr>
          <w:rFonts w:hint="eastAsia"/>
          <w:lang w:val="en-US" w:eastAsia="zh-CN"/>
        </w:rPr>
        <w:t>东湖区市政养护管理所</w:t>
      </w:r>
      <w:r>
        <w:rPr>
          <w:rFonts w:hint="eastAsia"/>
          <w:lang w:eastAsia="zh-CN"/>
        </w:rPr>
        <w:t>市政养护工作经费项目</w:t>
      </w:r>
      <w:r>
        <w:rPr>
          <w:rFonts w:hint="eastAsia"/>
        </w:rPr>
        <w:t>的预算资金，合计</w:t>
      </w:r>
      <w:r>
        <w:rPr>
          <w:rFonts w:hint="eastAsia"/>
          <w:lang w:val="en-US" w:eastAsia="zh-CN"/>
        </w:rPr>
        <w:t>360万</w:t>
      </w:r>
      <w:r>
        <w:rPr>
          <w:rFonts w:hint="eastAsia"/>
        </w:rPr>
        <w:t>元。</w:t>
      </w:r>
    </w:p>
    <w:p>
      <w:pPr>
        <w:pStyle w:val="4"/>
        <w:spacing w:before="204" w:after="204"/>
      </w:pPr>
      <w:bookmarkStart w:id="23" w:name="_Toc23662"/>
      <w:bookmarkStart w:id="24" w:name="_Toc1416"/>
      <w:bookmarkStart w:id="25" w:name="_Toc18065"/>
      <w:r>
        <w:rPr>
          <w:rFonts w:hint="eastAsia"/>
        </w:rPr>
        <w:t>（二）绩效评价原则、评价指标体系、评价方法、评价标准等</w:t>
      </w:r>
      <w:bookmarkEnd w:id="23"/>
      <w:bookmarkEnd w:id="24"/>
      <w:bookmarkEnd w:id="25"/>
    </w:p>
    <w:p>
      <w:pPr>
        <w:pStyle w:val="5"/>
      </w:pPr>
      <w:bookmarkStart w:id="26" w:name="_Toc4683"/>
      <w:bookmarkStart w:id="27" w:name="_Toc17746"/>
      <w:r>
        <w:rPr>
          <w:rFonts w:hint="eastAsia"/>
        </w:rPr>
        <w:t>1、绩效评价的原则</w:t>
      </w:r>
      <w:bookmarkEnd w:id="26"/>
      <w:bookmarkEnd w:id="27"/>
    </w:p>
    <w:p>
      <w:pPr>
        <w:ind w:firstLine="560"/>
      </w:pPr>
      <w:r>
        <w:rPr>
          <w:rFonts w:hint="eastAsia"/>
        </w:rPr>
        <w:t>绩效评价应当遵循以下基本原则：</w:t>
      </w:r>
    </w:p>
    <w:p>
      <w:pPr>
        <w:ind w:firstLine="560"/>
      </w:pPr>
      <w:r>
        <w:rPr>
          <w:rFonts w:hint="eastAsia"/>
        </w:rPr>
        <w:t>①科学规范。绩效评价注重财政支出的经济性、效率性和有效性，严格执行规定的程序，采用定量与定性分析相结合的方法。</w:t>
      </w:r>
    </w:p>
    <w:p>
      <w:pPr>
        <w:ind w:firstLine="560"/>
      </w:pPr>
      <w:r>
        <w:rPr>
          <w:rFonts w:hint="eastAsia"/>
        </w:rPr>
        <w:t>②公正公开。绩效评价客观、公正</w:t>
      </w:r>
      <w:r>
        <w:rPr>
          <w:rFonts w:hint="eastAsia"/>
          <w:lang w:eastAsia="zh-CN"/>
        </w:rPr>
        <w:t>、</w:t>
      </w:r>
      <w:r>
        <w:rPr>
          <w:rFonts w:hint="eastAsia"/>
        </w:rPr>
        <w:t>标准</w:t>
      </w:r>
      <w:r>
        <w:rPr>
          <w:rFonts w:hint="eastAsia"/>
          <w:lang w:eastAsia="zh-CN"/>
        </w:rPr>
        <w:t>、</w:t>
      </w:r>
      <w:r>
        <w:rPr>
          <w:rFonts w:hint="eastAsia"/>
        </w:rPr>
        <w:t>统一、资料可靠，依法公开并接受监督。</w:t>
      </w:r>
    </w:p>
    <w:p>
      <w:pPr>
        <w:ind w:firstLine="560"/>
      </w:pPr>
      <w:r>
        <w:rPr>
          <w:rFonts w:hint="eastAsia"/>
        </w:rPr>
        <w:t>③分级分类。绩效评价由各级财政部门、部门（单位）根据评价对象的特点，分类组织实施。</w:t>
      </w:r>
    </w:p>
    <w:p>
      <w:pPr>
        <w:ind w:firstLine="560"/>
        <w:rPr>
          <w:rFonts w:hint="eastAsia"/>
        </w:rPr>
      </w:pPr>
      <w:r>
        <w:rPr>
          <w:rFonts w:hint="eastAsia"/>
        </w:rPr>
        <w:t>④绩效相关。绩效评价针对具体支出及其产出绩效进行，评价结果清晰反映支出和产出绩效之间的紧密对应关系。</w:t>
      </w:r>
    </w:p>
    <w:p>
      <w:pPr>
        <w:pStyle w:val="5"/>
        <w:bidi w:val="0"/>
        <w:rPr>
          <w:lang w:val="en-US" w:eastAsia="zh-CN"/>
        </w:rPr>
      </w:pPr>
      <w:bookmarkStart w:id="28" w:name="_Toc27101"/>
      <w:bookmarkStart w:id="29" w:name="_Toc31402"/>
      <w:r>
        <w:rPr>
          <w:rFonts w:hint="eastAsia"/>
          <w:lang w:val="en-US" w:eastAsia="zh-CN"/>
        </w:rPr>
        <w:t>2、评价指标体系</w:t>
      </w:r>
      <w:bookmarkEnd w:id="28"/>
      <w:bookmarkEnd w:id="29"/>
    </w:p>
    <w:p>
      <w:pPr>
        <w:bidi w:val="0"/>
        <w:rPr>
          <w:rFonts w:hint="eastAsia" w:ascii="Times New Roman" w:hAnsi="Times New Roman" w:eastAsia="宋体"/>
          <w:b/>
          <w:bCs/>
        </w:rPr>
      </w:pPr>
      <w:r>
        <w:rPr>
          <w:rFonts w:hint="eastAsia" w:ascii="Times New Roman" w:hAnsi="Times New Roman" w:eastAsia="宋体"/>
          <w:b/>
          <w:bCs/>
        </w:rPr>
        <w:t>（1）绩效评价指标体系设计原则</w:t>
      </w:r>
    </w:p>
    <w:p>
      <w:pPr>
        <w:bidi w:val="0"/>
        <w:rPr>
          <w:rFonts w:hint="eastAsia" w:ascii="Times New Roman" w:hAnsi="Times New Roman" w:eastAsia="宋体"/>
        </w:rPr>
      </w:pPr>
      <w:r>
        <w:rPr>
          <w:rFonts w:hint="eastAsia" w:ascii="Times New Roman" w:hAnsi="Times New Roman" w:eastAsia="宋体"/>
        </w:rPr>
        <w:t>绩效评价指标是指衡量绩效目标实现程度的考核工具，应当遵循以下原则：</w:t>
      </w:r>
    </w:p>
    <w:p>
      <w:pPr>
        <w:bidi w:val="0"/>
        <w:rPr>
          <w:rFonts w:hint="eastAsia" w:ascii="Times New Roman" w:hAnsi="Times New Roman" w:eastAsia="宋体"/>
        </w:rPr>
      </w:pPr>
      <w:r>
        <w:rPr>
          <w:rFonts w:hint="eastAsia" w:ascii="Times New Roman" w:hAnsi="Times New Roman" w:eastAsia="宋体"/>
        </w:rPr>
        <w:t>①相关性原则。应当与绩效目标有直接的联系，能够恰当反映目标的实现程度。</w:t>
      </w:r>
    </w:p>
    <w:p>
      <w:pPr>
        <w:bidi w:val="0"/>
        <w:rPr>
          <w:rFonts w:hint="eastAsia" w:ascii="Times New Roman" w:hAnsi="Times New Roman" w:eastAsia="宋体"/>
        </w:rPr>
      </w:pPr>
      <w:r>
        <w:rPr>
          <w:rFonts w:hint="eastAsia" w:ascii="Times New Roman" w:hAnsi="Times New Roman" w:eastAsia="宋体"/>
        </w:rPr>
        <w:t>②重要性原则。应当优先使用最具评价对象代表性、最能反映评价要求的核心指标。</w:t>
      </w:r>
    </w:p>
    <w:p>
      <w:pPr>
        <w:bidi w:val="0"/>
        <w:rPr>
          <w:rFonts w:hint="eastAsia" w:ascii="Times New Roman" w:hAnsi="Times New Roman" w:eastAsia="宋体"/>
        </w:rPr>
      </w:pPr>
      <w:r>
        <w:rPr>
          <w:rFonts w:hint="eastAsia" w:ascii="Times New Roman" w:hAnsi="Times New Roman" w:eastAsia="宋体"/>
        </w:rPr>
        <w:t>③可比性原则。对同类评价对象要设定共性的绩效评价指标，以便于评价结果可以相互比较。</w:t>
      </w:r>
    </w:p>
    <w:p>
      <w:pPr>
        <w:bidi w:val="0"/>
        <w:rPr>
          <w:rFonts w:hint="eastAsia" w:ascii="Times New Roman" w:hAnsi="Times New Roman" w:eastAsia="宋体"/>
        </w:rPr>
      </w:pPr>
      <w:r>
        <w:rPr>
          <w:rFonts w:hint="eastAsia" w:ascii="Times New Roman" w:hAnsi="Times New Roman" w:eastAsia="宋体"/>
        </w:rPr>
        <w:t>④系统性原则。应当将定量指标与定性指标相结合，系统反映财政支出所产生的社会效益、经济效益、环境效益和可持续影响等。</w:t>
      </w:r>
    </w:p>
    <w:p>
      <w:pPr>
        <w:bidi w:val="0"/>
        <w:rPr>
          <w:rFonts w:hint="eastAsia" w:ascii="Times New Roman" w:hAnsi="Times New Roman" w:eastAsia="宋体"/>
        </w:rPr>
      </w:pPr>
      <w:r>
        <w:rPr>
          <w:rFonts w:hint="eastAsia" w:ascii="Times New Roman" w:hAnsi="Times New Roman" w:eastAsia="宋体"/>
        </w:rPr>
        <w:t>⑤经济性原则。应当通俗易懂、简便易行，数据的获得应当考虑现实条件和可操作性，符合成本效益原则。</w:t>
      </w:r>
    </w:p>
    <w:p>
      <w:pPr>
        <w:bidi w:val="0"/>
        <w:rPr>
          <w:rFonts w:hint="eastAsia" w:ascii="Times New Roman" w:hAnsi="Times New Roman" w:eastAsia="宋体"/>
          <w:b/>
          <w:bCs/>
        </w:rPr>
      </w:pPr>
      <w:r>
        <w:rPr>
          <w:rFonts w:hint="eastAsia" w:ascii="Times New Roman" w:hAnsi="Times New Roman" w:eastAsia="宋体"/>
          <w:b/>
          <w:bCs/>
        </w:rPr>
        <w:t xml:space="preserve">（2）绩效评价指标体系设计思路 </w:t>
      </w:r>
    </w:p>
    <w:p>
      <w:pPr>
        <w:bidi w:val="0"/>
        <w:rPr>
          <w:rFonts w:hint="eastAsia" w:ascii="Times New Roman" w:hAnsi="Times New Roman" w:eastAsia="宋体"/>
        </w:rPr>
      </w:pPr>
      <w:r>
        <w:rPr>
          <w:rFonts w:hint="eastAsia" w:ascii="Times New Roman" w:hAnsi="Times New Roman" w:eastAsia="宋体"/>
        </w:rPr>
        <w:t>从绩效指标设计的基本原则分析，结合项目实际情况，评价指标设计应重点包括四部分内容</w:t>
      </w:r>
      <w:r>
        <w:rPr>
          <w:rFonts w:hint="eastAsia"/>
          <w:lang w:eastAsia="zh-CN"/>
        </w:rPr>
        <w:t>，</w:t>
      </w:r>
      <w:r>
        <w:rPr>
          <w:rFonts w:hint="eastAsia" w:ascii="Times New Roman" w:hAnsi="Times New Roman" w:eastAsia="宋体"/>
        </w:rPr>
        <w:t>一是项目决策指标，即通过评价项目立项依据充分性、立项程序规范性、绩效目标合理性、绩效指标明确性、预算编制科学性及资金分配合理性来分析项目决策是否科学合理；二是项目过程指标</w:t>
      </w:r>
      <w:r>
        <w:rPr>
          <w:rFonts w:hint="eastAsia"/>
          <w:lang w:eastAsia="zh-CN"/>
        </w:rPr>
        <w:t>，</w:t>
      </w:r>
      <w:r>
        <w:rPr>
          <w:rFonts w:hint="eastAsia" w:ascii="Times New Roman" w:hAnsi="Times New Roman" w:eastAsia="宋体"/>
        </w:rPr>
        <w:t>即通过评价项目资金到位率、预算资金执行率、资金使用合规性、管理制度健全性及制度执行有效性来分析项目实施过程所采取的组织措施是否完备；三是项目产出指标，即从产出的数量指标、质量指标、时效指标和成本指标分析</w:t>
      </w:r>
      <w:r>
        <w:rPr>
          <w:rFonts w:hint="eastAsia" w:ascii="Times New Roman" w:hAnsi="Times New Roman" w:eastAsia="宋体"/>
          <w:lang w:val="en-US" w:eastAsia="zh-CN"/>
        </w:rPr>
        <w:t>项目各项工作是否</w:t>
      </w:r>
      <w:r>
        <w:rPr>
          <w:rFonts w:hint="eastAsia" w:ascii="Times New Roman" w:hAnsi="Times New Roman" w:eastAsia="宋体"/>
        </w:rPr>
        <w:t>及时执行到位，检测是否符合预期质量要求，检测成本是否合理等；四是项目效益指标，即通过对</w:t>
      </w:r>
      <w:r>
        <w:rPr>
          <w:rFonts w:hint="eastAsia" w:ascii="Times New Roman" w:hAnsi="Times New Roman" w:eastAsia="宋体"/>
          <w:lang w:val="en-US" w:eastAsia="zh-CN"/>
        </w:rPr>
        <w:t>实施</w:t>
      </w:r>
      <w:r>
        <w:rPr>
          <w:rFonts w:hint="eastAsia"/>
          <w:lang w:val="en-US" w:eastAsia="zh-CN"/>
        </w:rPr>
        <w:t>市政养护工作</w:t>
      </w:r>
      <w:r>
        <w:rPr>
          <w:rFonts w:hint="eastAsia" w:ascii="Times New Roman" w:hAnsi="Times New Roman" w:eastAsia="宋体"/>
        </w:rPr>
        <w:t>产生的社会效益以及可持续影响等方面进行全面分析，以验证</w:t>
      </w:r>
      <w:r>
        <w:rPr>
          <w:rFonts w:hint="eastAsia"/>
          <w:lang w:val="en-US" w:eastAsia="zh-CN"/>
        </w:rPr>
        <w:t>市政养护工作经费项目</w:t>
      </w:r>
      <w:r>
        <w:rPr>
          <w:rFonts w:hint="eastAsia" w:ascii="Times New Roman" w:hAnsi="Times New Roman" w:eastAsia="宋体"/>
        </w:rPr>
        <w:t>资金的使用是否产生了积极良好的效果，是否达成了预期目标。通过对社会公众及服务对象进行满意度调查，了解其对项目实施效果的满意情况以及</w:t>
      </w:r>
      <w:r>
        <w:rPr>
          <w:rFonts w:hint="eastAsia"/>
          <w:lang w:val="en-US" w:eastAsia="zh-CN"/>
        </w:rPr>
        <w:t>市政养护工作</w:t>
      </w:r>
      <w:r>
        <w:rPr>
          <w:rFonts w:hint="eastAsia" w:ascii="Times New Roman" w:hAnsi="Times New Roman" w:eastAsia="宋体"/>
          <w:lang w:val="en-US" w:eastAsia="zh-CN"/>
        </w:rPr>
        <w:t>开展</w:t>
      </w:r>
      <w:r>
        <w:rPr>
          <w:rFonts w:hint="eastAsia" w:ascii="Times New Roman" w:hAnsi="Times New Roman" w:eastAsia="宋体"/>
        </w:rPr>
        <w:t>情况的真实态度。</w:t>
      </w:r>
    </w:p>
    <w:p>
      <w:pPr>
        <w:bidi w:val="0"/>
        <w:rPr>
          <w:rFonts w:hint="eastAsia"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（3）绩效评价指标体系设计流程</w:t>
      </w:r>
    </w:p>
    <w:p>
      <w:pPr>
        <w:bidi w:val="0"/>
        <w:rPr>
          <w:rFonts w:hint="eastAsia" w:ascii="Times New Roman" w:hAnsi="Times New Roman" w:eastAsia="宋体"/>
        </w:rPr>
      </w:pPr>
      <w:r>
        <w:rPr>
          <w:rFonts w:hint="eastAsia" w:ascii="Times New Roman" w:hAnsi="Times New Roman" w:eastAsia="宋体"/>
        </w:rPr>
        <w:t>首先对预算资金的功能进行梳理，包括资金性质、支出范围、实施内容、工作任务、受益对象等，明确</w:t>
      </w:r>
      <w:r>
        <w:rPr>
          <w:rFonts w:hint="eastAsia"/>
          <w:lang w:val="en-US" w:eastAsia="zh-CN"/>
        </w:rPr>
        <w:t>市政养护工作经费项目</w:t>
      </w:r>
      <w:r>
        <w:rPr>
          <w:rFonts w:hint="eastAsia" w:ascii="Times New Roman" w:hAnsi="Times New Roman" w:eastAsia="宋体"/>
          <w:lang w:val="en-US" w:eastAsia="zh-CN"/>
        </w:rPr>
        <w:t>的</w:t>
      </w:r>
      <w:r>
        <w:rPr>
          <w:rFonts w:hint="eastAsia" w:ascii="Times New Roman" w:hAnsi="Times New Roman" w:eastAsia="宋体"/>
        </w:rPr>
        <w:t>功能特性，确定预算执行能够取得的直接产出成果有哪些，进而确定产出数量指标</w:t>
      </w:r>
      <w:r>
        <w:rPr>
          <w:rFonts w:hint="eastAsia"/>
          <w:lang w:eastAsia="zh-CN"/>
        </w:rPr>
        <w:t>。</w:t>
      </w:r>
      <w:r>
        <w:rPr>
          <w:rFonts w:hint="eastAsia" w:ascii="Times New Roman" w:hAnsi="Times New Roman" w:eastAsia="宋体"/>
        </w:rPr>
        <w:t>其次逐项对照上级下达的任务要求、工作计划设定值、行业标准值、预算相应匹配值等，合理选择产出质量指标</w:t>
      </w:r>
      <w:r>
        <w:rPr>
          <w:rFonts w:hint="eastAsia"/>
          <w:lang w:eastAsia="zh-CN"/>
        </w:rPr>
        <w:t>，</w:t>
      </w:r>
      <w:r>
        <w:rPr>
          <w:rFonts w:hint="eastAsia" w:ascii="Times New Roman" w:hAnsi="Times New Roman" w:eastAsia="宋体"/>
        </w:rPr>
        <w:t>然后将预算执行的各项工作进行分解，</w:t>
      </w:r>
      <w:r>
        <w:rPr>
          <w:rFonts w:hint="eastAsia" w:ascii="Times New Roman" w:hAnsi="Times New Roman" w:eastAsia="宋体"/>
          <w:lang w:val="en-US" w:eastAsia="zh-CN"/>
        </w:rPr>
        <w:t>确定各项工作的完成时限</w:t>
      </w:r>
      <w:r>
        <w:rPr>
          <w:rFonts w:hint="eastAsia" w:ascii="Times New Roman" w:hAnsi="Times New Roman" w:eastAsia="宋体"/>
        </w:rPr>
        <w:t>，确定产出时效指标</w:t>
      </w:r>
      <w:r>
        <w:rPr>
          <w:rFonts w:hint="eastAsia"/>
          <w:lang w:eastAsia="zh-CN"/>
        </w:rPr>
        <w:t>，</w:t>
      </w:r>
      <w:r>
        <w:rPr>
          <w:rFonts w:hint="eastAsia" w:ascii="Times New Roman" w:hAnsi="Times New Roman" w:eastAsia="宋体"/>
        </w:rPr>
        <w:t>再根据预算资金和已设立的产出数量指标，通过成本分析确定产出成本指标</w:t>
      </w:r>
      <w:r>
        <w:rPr>
          <w:rFonts w:hint="eastAsia"/>
          <w:lang w:eastAsia="zh-CN"/>
        </w:rPr>
        <w:t>，</w:t>
      </w:r>
      <w:r>
        <w:rPr>
          <w:rFonts w:hint="eastAsia" w:ascii="Times New Roman" w:hAnsi="Times New Roman" w:eastAsia="宋体"/>
        </w:rPr>
        <w:t>最后根据</w:t>
      </w:r>
      <w:r>
        <w:rPr>
          <w:rFonts w:hint="eastAsia"/>
          <w:lang w:val="en-US" w:eastAsia="zh-CN"/>
        </w:rPr>
        <w:t>市政养护工作经费项目</w:t>
      </w:r>
      <w:r>
        <w:rPr>
          <w:rFonts w:hint="eastAsia" w:ascii="Times New Roman" w:hAnsi="Times New Roman" w:eastAsia="宋体"/>
        </w:rPr>
        <w:t>实施产生的影响确定社会效益指标、可持续影响指标及项目满意度指标。</w:t>
      </w:r>
    </w:p>
    <w:p>
      <w:pPr>
        <w:bidi w:val="0"/>
        <w:rPr>
          <w:rFonts w:hint="eastAsia" w:ascii="Times New Roman" w:hAnsi="Times New Roman" w:eastAsia="宋体"/>
          <w:b/>
          <w:bCs/>
        </w:rPr>
      </w:pPr>
      <w:r>
        <w:rPr>
          <w:rFonts w:hint="eastAsia" w:ascii="Times New Roman" w:hAnsi="Times New Roman" w:eastAsia="宋体"/>
          <w:b/>
          <w:bCs/>
        </w:rPr>
        <w:t>（4）绩效评价指标体系</w:t>
      </w:r>
    </w:p>
    <w:p>
      <w:pPr>
        <w:bidi w:val="0"/>
        <w:rPr>
          <w:rFonts w:hint="eastAsia" w:ascii="Times New Roman" w:hAnsi="Times New Roman" w:eastAsia="宋体"/>
        </w:rPr>
      </w:pPr>
      <w:r>
        <w:rPr>
          <w:rFonts w:hint="eastAsia" w:ascii="Times New Roman" w:hAnsi="Times New Roman" w:eastAsia="宋体"/>
        </w:rPr>
        <w:t xml:space="preserve"> 根据绩效评价的基本原理、原则和项目特点，结合财政部《项目支出绩效评价管理办法》（财预〔2020〕10 号）有关要求设置，本次绩效评价指标体系包括决策、过程、产出</w:t>
      </w:r>
      <w:r>
        <w:rPr>
          <w:rFonts w:hint="eastAsia" w:ascii="Times New Roman" w:hAnsi="Times New Roman" w:eastAsia="宋体"/>
          <w:lang w:eastAsia="zh-CN"/>
        </w:rPr>
        <w:t>、</w:t>
      </w:r>
      <w:r>
        <w:rPr>
          <w:rFonts w:hint="eastAsia" w:ascii="Times New Roman" w:hAnsi="Times New Roman" w:eastAsia="宋体"/>
        </w:rPr>
        <w:t>效益</w:t>
      </w:r>
      <w:r>
        <w:rPr>
          <w:rFonts w:hint="eastAsia" w:ascii="Times New Roman" w:hAnsi="Times New Roman" w:eastAsia="宋体"/>
          <w:lang w:val="en-US" w:eastAsia="zh-CN"/>
        </w:rPr>
        <w:t>及满意度5</w:t>
      </w:r>
      <w:r>
        <w:rPr>
          <w:rFonts w:hint="eastAsia" w:ascii="Times New Roman" w:hAnsi="Times New Roman" w:eastAsia="宋体"/>
        </w:rPr>
        <w:t>个一级指标，</w:t>
      </w:r>
      <w:r>
        <w:rPr>
          <w:rFonts w:hint="eastAsia" w:ascii="Times New Roman" w:hAnsi="Times New Roman" w:eastAsia="宋体"/>
          <w:lang w:val="en-US" w:eastAsia="zh-CN"/>
        </w:rPr>
        <w:t>12</w:t>
      </w:r>
      <w:r>
        <w:rPr>
          <w:rFonts w:hint="eastAsia" w:ascii="Times New Roman" w:hAnsi="Times New Roman" w:eastAsia="宋体"/>
        </w:rPr>
        <w:t>个二级指标、</w:t>
      </w:r>
      <w:r>
        <w:rPr>
          <w:rFonts w:hint="eastAsia" w:ascii="Times New Roman" w:hAnsi="Times New Roman" w:eastAsia="宋体"/>
          <w:lang w:val="en-US" w:eastAsia="zh-CN"/>
        </w:rPr>
        <w:t>25</w:t>
      </w:r>
      <w:r>
        <w:rPr>
          <w:rFonts w:hint="eastAsia" w:ascii="Times New Roman" w:hAnsi="Times New Roman" w:eastAsia="宋体"/>
        </w:rPr>
        <w:t>个三级指标。绩效评价指标体系详见附件。</w:t>
      </w:r>
    </w:p>
    <w:p>
      <w:pPr>
        <w:bidi w:val="0"/>
        <w:rPr>
          <w:rFonts w:hint="eastAsia" w:ascii="Times New Roman" w:hAnsi="Times New Roman" w:eastAsia="宋体"/>
        </w:rPr>
      </w:pPr>
      <w:r>
        <w:rPr>
          <w:rFonts w:hint="eastAsia" w:ascii="Times New Roman" w:hAnsi="Times New Roman" w:eastAsia="宋体"/>
        </w:rPr>
        <w:t>①决策：占权重</w:t>
      </w:r>
      <w:r>
        <w:rPr>
          <w:rFonts w:hint="eastAsia" w:ascii="Times New Roman" w:hAnsi="Times New Roman" w:eastAsia="宋体"/>
          <w:lang w:val="en-US" w:eastAsia="zh-CN"/>
        </w:rPr>
        <w:t>20</w:t>
      </w:r>
      <w:r>
        <w:rPr>
          <w:rFonts w:hint="eastAsia" w:ascii="Times New Roman" w:hAnsi="Times New Roman" w:eastAsia="宋体"/>
        </w:rPr>
        <w:t>分</w:t>
      </w:r>
      <w:r>
        <w:rPr>
          <w:rFonts w:hint="eastAsia"/>
          <w:lang w:eastAsia="zh-CN"/>
        </w:rPr>
        <w:t>，</w:t>
      </w:r>
      <w:r>
        <w:rPr>
          <w:rFonts w:hint="eastAsia" w:ascii="Times New Roman" w:hAnsi="Times New Roman" w:eastAsia="宋体"/>
        </w:rPr>
        <w:t>用于考核项目立项、绩效目标及资金投入三个方面。</w:t>
      </w:r>
    </w:p>
    <w:p>
      <w:pPr>
        <w:bidi w:val="0"/>
        <w:rPr>
          <w:rFonts w:hint="eastAsia" w:ascii="Times New Roman" w:hAnsi="Times New Roman" w:eastAsia="宋体"/>
        </w:rPr>
      </w:pPr>
      <w:r>
        <w:rPr>
          <w:rFonts w:hint="eastAsia" w:ascii="Times New Roman" w:hAnsi="Times New Roman" w:eastAsia="宋体"/>
        </w:rPr>
        <w:t>②过程：占权重</w:t>
      </w:r>
      <w:r>
        <w:rPr>
          <w:rFonts w:hint="eastAsia" w:ascii="Times New Roman" w:hAnsi="Times New Roman" w:eastAsia="宋体"/>
          <w:lang w:val="en-US" w:eastAsia="zh-CN"/>
        </w:rPr>
        <w:t>15</w:t>
      </w:r>
      <w:r>
        <w:rPr>
          <w:rFonts w:hint="eastAsia" w:ascii="Times New Roman" w:hAnsi="Times New Roman" w:eastAsia="宋体"/>
        </w:rPr>
        <w:t>分，用于考核资金管理及组织实施两个方面。</w:t>
      </w:r>
    </w:p>
    <w:p>
      <w:pPr>
        <w:bidi w:val="0"/>
        <w:rPr>
          <w:rFonts w:hint="eastAsia" w:ascii="Times New Roman" w:hAnsi="Times New Roman" w:eastAsia="宋体"/>
        </w:rPr>
      </w:pPr>
      <w:r>
        <w:rPr>
          <w:rFonts w:hint="eastAsia" w:ascii="Times New Roman" w:hAnsi="Times New Roman" w:eastAsia="宋体"/>
        </w:rPr>
        <w:t>③产出：占权重</w:t>
      </w:r>
      <w:r>
        <w:rPr>
          <w:rFonts w:hint="eastAsia" w:ascii="Times New Roman" w:hAnsi="Times New Roman" w:eastAsia="宋体"/>
          <w:lang w:val="en-US" w:eastAsia="zh-CN"/>
        </w:rPr>
        <w:t>35</w:t>
      </w:r>
      <w:r>
        <w:rPr>
          <w:rFonts w:hint="eastAsia" w:ascii="Times New Roman" w:hAnsi="Times New Roman" w:eastAsia="宋体"/>
        </w:rPr>
        <w:t xml:space="preserve">分，用于考核产出数量、产出质量、产出时效及产出成本四个方面。 </w:t>
      </w:r>
    </w:p>
    <w:p>
      <w:pPr>
        <w:bidi w:val="0"/>
        <w:rPr>
          <w:rFonts w:hint="eastAsia" w:ascii="Times New Roman" w:hAnsi="Times New Roman" w:eastAsia="宋体"/>
          <w:lang w:eastAsia="zh-CN"/>
        </w:rPr>
      </w:pPr>
      <w:r>
        <w:rPr>
          <w:rFonts w:hint="eastAsia" w:ascii="Times New Roman" w:hAnsi="Times New Roman" w:eastAsia="宋体"/>
        </w:rPr>
        <w:t>④效益：占权重</w:t>
      </w:r>
      <w:r>
        <w:rPr>
          <w:rFonts w:hint="eastAsia" w:ascii="Times New Roman" w:hAnsi="Times New Roman" w:eastAsia="宋体"/>
          <w:lang w:val="en-US" w:eastAsia="zh-CN"/>
        </w:rPr>
        <w:t>25</w:t>
      </w:r>
      <w:r>
        <w:rPr>
          <w:rFonts w:hint="eastAsia" w:ascii="Times New Roman" w:hAnsi="Times New Roman" w:eastAsia="宋体"/>
        </w:rPr>
        <w:t>分，用于考核社会效益、可持续影响</w:t>
      </w:r>
      <w:r>
        <w:rPr>
          <w:rFonts w:hint="eastAsia" w:ascii="Times New Roman" w:hAnsi="Times New Roman" w:eastAsia="宋体"/>
          <w:lang w:val="en-US" w:eastAsia="zh-CN"/>
        </w:rPr>
        <w:t>两</w:t>
      </w:r>
      <w:r>
        <w:rPr>
          <w:rFonts w:hint="eastAsia" w:ascii="Times New Roman" w:hAnsi="Times New Roman" w:eastAsia="宋体"/>
        </w:rPr>
        <w:t>个方面</w:t>
      </w:r>
      <w:r>
        <w:rPr>
          <w:rFonts w:hint="eastAsia" w:ascii="Times New Roman" w:hAnsi="Times New Roman" w:eastAsia="宋体"/>
          <w:lang w:eastAsia="zh-CN"/>
        </w:rPr>
        <w:t>。</w:t>
      </w:r>
    </w:p>
    <w:p>
      <w:pPr>
        <w:bidi w:val="0"/>
        <w:rPr>
          <w:rFonts w:hint="default" w:ascii="Times New Roman" w:hAnsi="Times New Roman" w:eastAsia="宋体"/>
          <w:lang w:val="en-US" w:eastAsia="zh-CN"/>
        </w:rPr>
      </w:pPr>
      <w:r>
        <w:rPr>
          <w:rFonts w:hint="eastAsia" w:ascii="Times New Roman" w:hAnsi="Times New Roman" w:eastAsia="宋体"/>
          <w:lang w:val="en-US" w:eastAsia="zh-CN"/>
        </w:rPr>
        <w:t>⑤满意度：占权重5分，用以考核社会公众对项目实施的满意度。</w:t>
      </w:r>
    </w:p>
    <w:p>
      <w:pPr>
        <w:pStyle w:val="5"/>
        <w:ind w:left="560" w:leftChars="200" w:firstLine="0" w:firstLineChars="0"/>
      </w:pPr>
      <w:bookmarkStart w:id="30" w:name="_Toc18181"/>
      <w:bookmarkStart w:id="31" w:name="_Toc3671"/>
      <w:r>
        <w:rPr>
          <w:rFonts w:hint="eastAsia"/>
        </w:rPr>
        <w:t>3、评价方法</w:t>
      </w:r>
      <w:bookmarkEnd w:id="30"/>
      <w:bookmarkEnd w:id="31"/>
    </w:p>
    <w:p>
      <w:pPr>
        <w:ind w:firstLine="560"/>
      </w:pPr>
      <w:r>
        <w:rPr>
          <w:rFonts w:hint="eastAsia"/>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w:t>
      </w:r>
      <w:r>
        <w:rPr>
          <w:rFonts w:hint="eastAsia"/>
          <w:lang w:eastAsia="zh-CN"/>
        </w:rPr>
        <w:t>，</w:t>
      </w:r>
      <w:r>
        <w:rPr>
          <w:rFonts w:hint="eastAsia"/>
        </w:rPr>
        <w:t>深度访谈则是对项目实施负责人进行，用以从整体上把握项目的基本情况</w:t>
      </w:r>
      <w:r>
        <w:rPr>
          <w:rFonts w:hint="eastAsia"/>
          <w:lang w:eastAsia="zh-CN"/>
        </w:rPr>
        <w:t>，</w:t>
      </w:r>
      <w:r>
        <w:rPr>
          <w:rFonts w:hint="eastAsia"/>
        </w:rPr>
        <w:t>财务核查则是通过专业财务人员通过查看项目相关财务凭证，掌握</w:t>
      </w:r>
      <w:r>
        <w:rPr>
          <w:rFonts w:hint="eastAsia"/>
          <w:lang w:eastAsia="zh-CN"/>
        </w:rPr>
        <w:t>市政养护工作经费项目</w:t>
      </w:r>
      <w:r>
        <w:rPr>
          <w:rFonts w:hint="eastAsia"/>
        </w:rPr>
        <w:t>资金的使用情况</w:t>
      </w:r>
      <w:r>
        <w:rPr>
          <w:rFonts w:hint="eastAsia"/>
          <w:lang w:eastAsia="zh-CN"/>
        </w:rPr>
        <w:t>，</w:t>
      </w:r>
      <w:r>
        <w:rPr>
          <w:rFonts w:hint="eastAsia"/>
        </w:rPr>
        <w:t>实地调研则是通过研究员调查实地情况，了解掌握</w:t>
      </w:r>
      <w:r>
        <w:rPr>
          <w:rFonts w:hint="eastAsia"/>
          <w:lang w:eastAsia="zh-CN"/>
        </w:rPr>
        <w:t>市政养护工作经费项目</w:t>
      </w:r>
      <w:r>
        <w:rPr>
          <w:rFonts w:hint="eastAsia"/>
        </w:rPr>
        <w:t>的产出和效果</w:t>
      </w:r>
      <w:r>
        <w:rPr>
          <w:rFonts w:hint="eastAsia"/>
          <w:lang w:eastAsia="zh-CN"/>
        </w:rPr>
        <w:t>，</w:t>
      </w:r>
      <w:r>
        <w:rPr>
          <w:rFonts w:hint="eastAsia"/>
        </w:rPr>
        <w:t>问卷调查则是对</w:t>
      </w:r>
      <w:r>
        <w:rPr>
          <w:rFonts w:hint="eastAsia"/>
          <w:lang w:eastAsia="zh-CN"/>
        </w:rPr>
        <w:t>市政养护工作经费项目</w:t>
      </w:r>
      <w:r>
        <w:rPr>
          <w:rFonts w:hint="eastAsia"/>
        </w:rPr>
        <w:t>的相关受益群体进行，了解其对</w:t>
      </w:r>
      <w:r>
        <w:rPr>
          <w:rFonts w:hint="eastAsia"/>
          <w:lang w:eastAsia="zh-CN"/>
        </w:rPr>
        <w:t>市政养护工作经费项目</w:t>
      </w:r>
      <w:r>
        <w:rPr>
          <w:rFonts w:hint="eastAsia"/>
        </w:rPr>
        <w:t>实施的真实看法及满意状况。</w:t>
      </w:r>
    </w:p>
    <w:p>
      <w:pPr>
        <w:pStyle w:val="5"/>
        <w:ind w:left="560" w:leftChars="200" w:firstLine="0" w:firstLineChars="0"/>
      </w:pPr>
      <w:bookmarkStart w:id="32" w:name="_Toc19721"/>
      <w:bookmarkStart w:id="33" w:name="_Toc10108"/>
      <w:r>
        <w:rPr>
          <w:rFonts w:hint="eastAsia"/>
        </w:rPr>
        <w:t>4、评价标准</w:t>
      </w:r>
      <w:bookmarkEnd w:id="32"/>
      <w:bookmarkEnd w:id="33"/>
    </w:p>
    <w:p>
      <w:pPr>
        <w:ind w:firstLine="560"/>
      </w:pPr>
      <w:r>
        <w:t>绩效评价标准是指衡量财政支出绩效目标完成程度的尺度。对于评价指标而言，需要通过评价标准来</w:t>
      </w:r>
      <w:r>
        <w:rPr>
          <w:rFonts w:hint="eastAsia"/>
        </w:rPr>
        <w:t>判别</w:t>
      </w:r>
      <w:r>
        <w:t>评价指标的状况和优劣程度</w:t>
      </w:r>
      <w:r>
        <w:rPr>
          <w:rFonts w:hint="eastAsia"/>
          <w:lang w:eastAsia="zh-CN"/>
        </w:rPr>
        <w:t>，</w:t>
      </w:r>
      <w:r>
        <w:t>是评价工作的基本准绳和标尺，是最后进行评价计分的依据，它决定了评价目标能否实现以及评价结果是否公平准确。绩效指标评价标准</w:t>
      </w:r>
      <w:r>
        <w:rPr>
          <w:rFonts w:hint="eastAsia"/>
        </w:rPr>
        <w:t>主要有：</w:t>
      </w:r>
    </w:p>
    <w:p>
      <w:pPr>
        <w:rPr>
          <w:b/>
          <w:bCs/>
        </w:rPr>
      </w:pPr>
      <w:r>
        <w:rPr>
          <w:rFonts w:hint="eastAsia"/>
          <w:b/>
          <w:bCs/>
        </w:rPr>
        <w:t>（1）</w:t>
      </w:r>
      <w:r>
        <w:rPr>
          <w:b/>
          <w:bCs/>
        </w:rPr>
        <w:t>计划标准</w:t>
      </w:r>
    </w:p>
    <w:p>
      <w:pPr>
        <w:ind w:firstLine="560"/>
      </w:pPr>
      <w:r>
        <w:t>以</w:t>
      </w:r>
      <w:r>
        <w:rPr>
          <w:rFonts w:hint="eastAsia"/>
        </w:rPr>
        <w:t>预先</w:t>
      </w:r>
      <w:r>
        <w:t>制定的计划、</w:t>
      </w:r>
      <w:r>
        <w:rPr>
          <w:rFonts w:hint="eastAsia"/>
        </w:rPr>
        <w:t>目标、</w:t>
      </w:r>
      <w:r>
        <w:t>预算</w:t>
      </w:r>
      <w:r>
        <w:rPr>
          <w:rFonts w:hint="eastAsia"/>
        </w:rPr>
        <w:t>或</w:t>
      </w:r>
      <w:r>
        <w:t>定额等数据作为绩效</w:t>
      </w:r>
      <w:r>
        <w:rPr>
          <w:rFonts w:hint="eastAsia"/>
        </w:rPr>
        <w:t>评价</w:t>
      </w:r>
      <w:r>
        <w:t>标准。</w:t>
      </w:r>
      <w:r>
        <w:rPr>
          <w:rFonts w:hint="eastAsia"/>
        </w:rPr>
        <w:t>计划值作为评价的指标旨在通过将实际完成值与预定值对比，找出两者的差异，从而达到评价目的。但由于容易受主观因素影响，计划标准的制定要求较高。</w:t>
      </w:r>
    </w:p>
    <w:p>
      <w:pPr>
        <w:rPr>
          <w:b/>
          <w:bCs/>
        </w:rPr>
      </w:pPr>
      <w:r>
        <w:rPr>
          <w:rFonts w:hint="eastAsia"/>
          <w:b/>
          <w:bCs/>
        </w:rPr>
        <w:t>（2）</w:t>
      </w:r>
      <w:r>
        <w:rPr>
          <w:b/>
          <w:bCs/>
        </w:rPr>
        <w:t>行业标准</w:t>
      </w:r>
    </w:p>
    <w:p>
      <w:pPr>
        <w:ind w:firstLine="560"/>
      </w:pPr>
      <w:r>
        <w:t>以</w:t>
      </w:r>
      <w:r>
        <w:rPr>
          <w:rFonts w:hint="eastAsia"/>
        </w:rPr>
        <w:t>某</w:t>
      </w:r>
      <w:r>
        <w:t>一</w:t>
      </w:r>
      <w:r>
        <w:rPr>
          <w:rFonts w:hint="eastAsia"/>
        </w:rPr>
        <w:t>具体</w:t>
      </w:r>
      <w:r>
        <w:t>行业许多</w:t>
      </w:r>
      <w:r>
        <w:rPr>
          <w:rFonts w:hint="eastAsia"/>
        </w:rPr>
        <w:t>个</w:t>
      </w:r>
      <w:r>
        <w:t>体</w:t>
      </w:r>
      <w:r>
        <w:rPr>
          <w:rFonts w:hint="eastAsia"/>
        </w:rPr>
        <w:t>或某项财政经费</w:t>
      </w:r>
      <w:r>
        <w:t>的相关指标数据为样本，运用数理统计方法</w:t>
      </w:r>
      <w:r>
        <w:rPr>
          <w:rFonts w:hint="eastAsia"/>
        </w:rPr>
        <w:t>，</w:t>
      </w:r>
      <w:r>
        <w:t>计算和制定的该行业评价标准。</w:t>
      </w:r>
      <w:r>
        <w:rPr>
          <w:rFonts w:hint="eastAsia"/>
        </w:rPr>
        <w:t>行业标准可方便财政部门对各类支出的绩效情况进行纵向的或横向的比较分析；行业标准具有易取得性、权威性和客观性，广为评价工作者使用，然而行业标准的充分应用需要强大的</w:t>
      </w:r>
      <w:r>
        <w:t>数据</w:t>
      </w:r>
      <w:r>
        <w:rPr>
          <w:rFonts w:hint="eastAsia"/>
        </w:rPr>
        <w:t>资料库做支撑</w:t>
      </w:r>
      <w:r>
        <w:t>。</w:t>
      </w:r>
    </w:p>
    <w:p>
      <w:pPr>
        <w:rPr>
          <w:b/>
          <w:bCs/>
        </w:rPr>
      </w:pPr>
      <w:r>
        <w:rPr>
          <w:rFonts w:hint="eastAsia"/>
          <w:b/>
          <w:bCs/>
        </w:rPr>
        <w:t>（3）</w:t>
      </w:r>
      <w:r>
        <w:rPr>
          <w:b/>
          <w:bCs/>
        </w:rPr>
        <w:t>历史标准</w:t>
      </w:r>
    </w:p>
    <w:p>
      <w:pPr>
        <w:ind w:firstLine="560"/>
      </w:pPr>
      <w:r>
        <w:t>以绩效评价指标的历史数据作为样本，运用一定的统计学方法</w:t>
      </w:r>
      <w:r>
        <w:rPr>
          <w:rFonts w:hint="eastAsia"/>
        </w:rPr>
        <w:t>，</w:t>
      </w:r>
      <w:r>
        <w:t>计算出各类指标的平均历史水平。</w:t>
      </w:r>
      <w:r>
        <w:rPr>
          <w:rFonts w:hint="eastAsia"/>
        </w:rPr>
        <w:t xml:space="preserve">在运用历史标准进行评价时，要对其根据价格指数、统计口径或核算方法的变化对历史标准进行修订和完善。 </w:t>
      </w:r>
    </w:p>
    <w:p>
      <w:pPr>
        <w:rPr>
          <w:b/>
          <w:bCs/>
        </w:rPr>
      </w:pPr>
      <w:r>
        <w:rPr>
          <w:rFonts w:hint="eastAsia"/>
          <w:b/>
          <w:bCs/>
        </w:rPr>
        <w:t>（4）</w:t>
      </w:r>
      <w:r>
        <w:rPr>
          <w:b/>
          <w:bCs/>
        </w:rPr>
        <w:t>经验标准</w:t>
      </w:r>
    </w:p>
    <w:p>
      <w:pPr>
        <w:ind w:firstLine="560"/>
        <w:rPr>
          <w:rFonts w:hint="eastAsia"/>
        </w:rPr>
      </w:pPr>
      <w:r>
        <w:t>根据长期的财政经济活动管理实践，由在</w:t>
      </w:r>
      <w:r>
        <w:rPr>
          <w:rFonts w:hint="eastAsia"/>
        </w:rPr>
        <w:t>该</w:t>
      </w:r>
      <w:r>
        <w:t>领域</w:t>
      </w:r>
      <w:r>
        <w:rPr>
          <w:rFonts w:hint="eastAsia"/>
        </w:rPr>
        <w:t>中具</w:t>
      </w:r>
      <w:r>
        <w:t>有丰富经验的专家学者，在经过严密分析</w:t>
      </w:r>
      <w:r>
        <w:rPr>
          <w:rFonts w:hint="eastAsia"/>
        </w:rPr>
        <w:t>与</w:t>
      </w:r>
      <w:r>
        <w:t>研究</w:t>
      </w:r>
      <w:r>
        <w:rPr>
          <w:rFonts w:hint="eastAsia"/>
        </w:rPr>
        <w:t>，</w:t>
      </w:r>
      <w:r>
        <w:t>得</w:t>
      </w:r>
      <w:r>
        <w:rPr>
          <w:rFonts w:hint="eastAsia"/>
        </w:rPr>
        <w:t>到</w:t>
      </w:r>
      <w:r>
        <w:t>的有关指标标准。</w:t>
      </w:r>
      <w:r>
        <w:rPr>
          <w:rFonts w:hint="eastAsia"/>
        </w:rPr>
        <w:t>该标准适用于缺乏同行业标准比较时用。即便行业标准与经验标准两者都可得到并使用，如果前者不如后者有权威性时，为保证评价结果的认可度，也应当选择经验标准，而不是选择行业标准。</w:t>
      </w:r>
    </w:p>
    <w:p>
      <w:pPr>
        <w:keepNext/>
        <w:keepLines/>
        <w:widowControl w:val="0"/>
        <w:bidi w:val="0"/>
        <w:spacing w:before="120" w:after="120" w:line="360" w:lineRule="auto"/>
        <w:ind w:firstLine="562" w:firstLineChars="200"/>
        <w:jc w:val="left"/>
        <w:outlineLvl w:val="2"/>
        <w:rPr>
          <w:rFonts w:hint="eastAsia"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5、评价依据</w:t>
      </w:r>
    </w:p>
    <w:p>
      <w:pPr>
        <w:rPr>
          <w:rFonts w:hint="default" w:ascii="Times New Roman" w:hAnsi="Times New Roman" w:eastAsia="宋体"/>
          <w:lang w:val="en-US" w:eastAsia="zh-CN"/>
        </w:rPr>
      </w:pPr>
      <w:r>
        <w:rPr>
          <w:rFonts w:hint="default" w:ascii="Times New Roman" w:hAnsi="Times New Roman" w:eastAsia="宋体"/>
          <w:lang w:val="en-US" w:eastAsia="zh-CN"/>
        </w:rPr>
        <w:t>（1）《中共中央 国务院关于全面实施预算绩效管理的意见》（中发〔2018〕34 号）；</w:t>
      </w:r>
    </w:p>
    <w:p>
      <w:pPr>
        <w:bidi w:val="0"/>
        <w:rPr>
          <w:rFonts w:hint="default" w:ascii="Times New Roman" w:hAnsi="Times New Roman" w:eastAsia="宋体"/>
          <w:lang w:val="en-US" w:eastAsia="zh-CN"/>
        </w:rPr>
      </w:pPr>
      <w:r>
        <w:rPr>
          <w:rFonts w:hint="default" w:ascii="Times New Roman" w:hAnsi="Times New Roman" w:eastAsia="宋体"/>
          <w:lang w:val="en-US" w:eastAsia="zh-CN"/>
        </w:rPr>
        <w:t>（2）《中共江西省委 江西省人民政府关于全面实施预算绩效管理的实施意见》（赣发〔2019〕8 号）；</w:t>
      </w:r>
    </w:p>
    <w:p>
      <w:pPr>
        <w:rPr>
          <w:rFonts w:hint="default" w:ascii="Times New Roman" w:hAnsi="Times New Roman" w:eastAsia="宋体"/>
          <w:lang w:val="en-US" w:eastAsia="zh-CN"/>
        </w:rPr>
      </w:pPr>
      <w:r>
        <w:rPr>
          <w:rFonts w:hint="default" w:ascii="Times New Roman" w:hAnsi="Times New Roman" w:eastAsia="宋体"/>
          <w:lang w:val="en-US" w:eastAsia="zh-CN"/>
        </w:rPr>
        <w:t>（3）《中共南昌市委 南昌市人民政府关于全面实施预算绩效管理的实施意见》（洪发〔2019〕13 号）；</w:t>
      </w:r>
    </w:p>
    <w:p>
      <w:pPr>
        <w:rPr>
          <w:rFonts w:hint="default" w:ascii="Times New Roman" w:hAnsi="Times New Roman" w:eastAsia="宋体"/>
          <w:lang w:val="en-US" w:eastAsia="zh-CN"/>
        </w:rPr>
      </w:pPr>
      <w:r>
        <w:rPr>
          <w:rFonts w:hint="default" w:ascii="Times New Roman" w:hAnsi="Times New Roman" w:eastAsia="宋体"/>
          <w:lang w:val="en-US" w:eastAsia="zh-CN"/>
        </w:rPr>
        <w:t>（4）《财政部关于印发&lt;项目支出绩效评价管理办法&gt;的通知》（财预〔2020〕10 号）；</w:t>
      </w:r>
    </w:p>
    <w:p>
      <w:pPr>
        <w:rPr>
          <w:rFonts w:hint="eastAsia"/>
          <w:lang w:val="en-US" w:eastAsia="zh-CN"/>
        </w:rPr>
      </w:pPr>
      <w:r>
        <w:rPr>
          <w:rFonts w:hint="eastAsia"/>
          <w:lang w:val="en-US" w:eastAsia="zh-CN"/>
        </w:rPr>
        <w:t>（5）</w:t>
      </w:r>
      <w:r>
        <w:rPr>
          <w:rFonts w:hint="default" w:ascii="Times New Roman" w:hAnsi="Times New Roman" w:eastAsia="宋体"/>
          <w:lang w:val="en-US" w:eastAsia="zh-CN"/>
        </w:rPr>
        <w:t>《南昌市财政局关于开展2021年度预算绩效管理有关工作的通知》（洪财办[2021]7号）</w:t>
      </w:r>
      <w:r>
        <w:rPr>
          <w:rFonts w:hint="eastAsia"/>
          <w:lang w:val="en-US" w:eastAsia="zh-CN"/>
        </w:rPr>
        <w:t>；</w:t>
      </w:r>
    </w:p>
    <w:p>
      <w:pPr>
        <w:rPr>
          <w:rFonts w:hint="eastAsia"/>
          <w:lang w:val="en-US" w:eastAsia="zh-CN"/>
        </w:rPr>
      </w:pPr>
      <w:r>
        <w:rPr>
          <w:rFonts w:hint="eastAsia"/>
          <w:lang w:val="en-US" w:eastAsia="zh-CN"/>
        </w:rPr>
        <w:t>（6）</w:t>
      </w:r>
      <w:r>
        <w:rPr>
          <w:rFonts w:hint="default" w:ascii="Times New Roman" w:hAnsi="Times New Roman" w:eastAsia="宋体"/>
          <w:lang w:val="en-US" w:eastAsia="zh-CN"/>
        </w:rPr>
        <w:t>《东湖区财政局关于开展2021年度预算绩效管理有关工作的通知》（东财字[2021]14号）</w:t>
      </w:r>
      <w:r>
        <w:rPr>
          <w:rFonts w:hint="eastAsia"/>
          <w:lang w:val="en-US" w:eastAsia="zh-CN"/>
        </w:rPr>
        <w:t>；</w:t>
      </w:r>
    </w:p>
    <w:p>
      <w:pPr>
        <w:rPr>
          <w:rFonts w:hint="eastAsia"/>
          <w:lang w:val="en-US" w:eastAsia="zh-CN"/>
        </w:rPr>
      </w:pPr>
      <w:r>
        <w:rPr>
          <w:rFonts w:hint="eastAsia"/>
          <w:lang w:val="en-US" w:eastAsia="zh-CN"/>
        </w:rPr>
        <w:t>（7）《南昌市人民政府办公厅抄告单》（洪府厅抄字[2013]352号）；</w:t>
      </w:r>
    </w:p>
    <w:p>
      <w:pPr>
        <w:rPr>
          <w:rFonts w:hint="default"/>
          <w:lang w:val="en-US" w:eastAsia="zh-CN"/>
        </w:rPr>
      </w:pPr>
      <w:r>
        <w:rPr>
          <w:rFonts w:hint="eastAsia"/>
          <w:lang w:val="en-US" w:eastAsia="zh-CN"/>
        </w:rPr>
        <w:t>（8）《关于下达二〇二〇年度预算支出指标的通知》（东财字[2020]22号）；</w:t>
      </w:r>
    </w:p>
    <w:p>
      <w:pPr>
        <w:ind w:firstLine="560"/>
        <w:rPr>
          <w:rFonts w:hint="eastAsia"/>
          <w:lang w:val="en-US" w:eastAsia="zh-CN"/>
        </w:rPr>
      </w:pPr>
      <w:r>
        <w:rPr>
          <w:rFonts w:hint="eastAsia"/>
          <w:lang w:val="en-US" w:eastAsia="zh-CN"/>
        </w:rPr>
        <w:t>（9）《东湖区市政养护管理所财务管理制度》；</w:t>
      </w:r>
    </w:p>
    <w:p>
      <w:pPr>
        <w:ind w:firstLine="560"/>
        <w:rPr>
          <w:rFonts w:hint="eastAsia"/>
          <w:lang w:val="en-US" w:eastAsia="zh-CN"/>
        </w:rPr>
      </w:pPr>
      <w:r>
        <w:rPr>
          <w:rFonts w:hint="eastAsia"/>
          <w:lang w:val="en-US" w:eastAsia="zh-CN"/>
        </w:rPr>
        <w:t>（10）《东湖区市政养护管理所工程专项资金财务管理制度》；</w:t>
      </w:r>
    </w:p>
    <w:p>
      <w:pPr>
        <w:ind w:firstLine="560"/>
        <w:rPr>
          <w:rFonts w:hint="eastAsia"/>
          <w:lang w:val="en-US" w:eastAsia="zh-CN"/>
        </w:rPr>
      </w:pPr>
      <w:r>
        <w:rPr>
          <w:rFonts w:hint="eastAsia"/>
          <w:lang w:val="en-US" w:eastAsia="zh-CN"/>
        </w:rPr>
        <w:t>（11）《2021年东湖区市政所防汛排涝工作预案》；</w:t>
      </w:r>
    </w:p>
    <w:p>
      <w:pPr>
        <w:ind w:firstLine="560"/>
        <w:rPr>
          <w:rFonts w:hint="eastAsia"/>
          <w:lang w:val="en-US" w:eastAsia="zh-CN"/>
        </w:rPr>
      </w:pPr>
      <w:r>
        <w:rPr>
          <w:rFonts w:hint="eastAsia"/>
          <w:lang w:val="en-US" w:eastAsia="zh-CN"/>
        </w:rPr>
        <w:t>（12）《养护队日常维修管理办法》；</w:t>
      </w:r>
    </w:p>
    <w:p>
      <w:pPr>
        <w:ind w:firstLine="560"/>
        <w:rPr>
          <w:rFonts w:hint="eastAsia"/>
          <w:lang w:val="en-US" w:eastAsia="zh-CN"/>
        </w:rPr>
      </w:pPr>
      <w:r>
        <w:rPr>
          <w:rFonts w:hint="eastAsia"/>
          <w:lang w:val="en-US" w:eastAsia="zh-CN"/>
        </w:rPr>
        <w:t>（13）《清掏制度》；</w:t>
      </w:r>
    </w:p>
    <w:p>
      <w:pPr>
        <w:ind w:firstLine="560"/>
        <w:rPr>
          <w:rFonts w:hint="eastAsia"/>
          <w:lang w:val="en-US" w:eastAsia="zh-CN"/>
        </w:rPr>
      </w:pPr>
      <w:r>
        <w:rPr>
          <w:rFonts w:hint="eastAsia"/>
          <w:lang w:val="en-US" w:eastAsia="zh-CN"/>
        </w:rPr>
        <w:t>（14）《暴雨应急处理办法》；</w:t>
      </w:r>
    </w:p>
    <w:p>
      <w:pPr>
        <w:ind w:firstLine="560"/>
        <w:rPr>
          <w:rFonts w:hint="eastAsia"/>
          <w:lang w:val="en-US" w:eastAsia="zh-CN"/>
        </w:rPr>
      </w:pPr>
      <w:r>
        <w:rPr>
          <w:rFonts w:hint="eastAsia"/>
          <w:lang w:val="en-US" w:eastAsia="zh-CN"/>
        </w:rPr>
        <w:t>（15）《道路积水处理办法》；</w:t>
      </w:r>
    </w:p>
    <w:p>
      <w:pPr>
        <w:ind w:firstLine="560"/>
        <w:rPr>
          <w:rFonts w:hint="eastAsia"/>
          <w:lang w:val="en-US" w:eastAsia="zh-CN"/>
        </w:rPr>
      </w:pPr>
      <w:r>
        <w:rPr>
          <w:rFonts w:hint="eastAsia"/>
          <w:lang w:val="en-US" w:eastAsia="zh-CN"/>
        </w:rPr>
        <w:t>（16）《养护队工作制度》；</w:t>
      </w:r>
    </w:p>
    <w:p>
      <w:pPr>
        <w:ind w:firstLine="560"/>
        <w:rPr>
          <w:rFonts w:hint="eastAsia"/>
          <w:lang w:val="en-US" w:eastAsia="zh-CN"/>
        </w:rPr>
      </w:pPr>
      <w:r>
        <w:rPr>
          <w:rFonts w:hint="eastAsia"/>
          <w:lang w:val="en-US" w:eastAsia="zh-CN"/>
        </w:rPr>
        <w:t>（17）《养护队人员工作规范》；</w:t>
      </w:r>
    </w:p>
    <w:p>
      <w:pPr>
        <w:ind w:firstLine="560"/>
        <w:rPr>
          <w:rFonts w:hint="eastAsia"/>
          <w:lang w:val="en-US" w:eastAsia="zh-CN"/>
        </w:rPr>
      </w:pPr>
      <w:r>
        <w:rPr>
          <w:rFonts w:hint="eastAsia"/>
          <w:lang w:val="en-US" w:eastAsia="zh-CN"/>
        </w:rPr>
        <w:t>（18）《养护维修管理方案》；</w:t>
      </w:r>
    </w:p>
    <w:p>
      <w:pPr>
        <w:ind w:firstLine="560"/>
        <w:rPr>
          <w:rFonts w:hint="eastAsia"/>
          <w:lang w:val="en-US" w:eastAsia="zh-CN"/>
        </w:rPr>
      </w:pPr>
      <w:r>
        <w:rPr>
          <w:rFonts w:hint="eastAsia"/>
          <w:lang w:val="en-US" w:eastAsia="zh-CN"/>
        </w:rPr>
        <w:t>（19）《市政养护工作经费项目预算绩效目标申报表》</w:t>
      </w:r>
    </w:p>
    <w:p>
      <w:pPr>
        <w:ind w:firstLine="560"/>
        <w:rPr>
          <w:rFonts w:hint="default"/>
          <w:lang w:val="en-US" w:eastAsia="zh-CN"/>
        </w:rPr>
      </w:pPr>
      <w:r>
        <w:rPr>
          <w:rFonts w:hint="eastAsia"/>
          <w:lang w:val="en-US" w:eastAsia="zh-CN"/>
        </w:rPr>
        <w:t>（20）养护经费部门明细账</w:t>
      </w:r>
    </w:p>
    <w:p>
      <w:pPr>
        <w:ind w:firstLine="560"/>
        <w:rPr>
          <w:rFonts w:hint="default"/>
          <w:lang w:val="en-US" w:eastAsia="zh-CN"/>
        </w:rPr>
      </w:pPr>
      <w:r>
        <w:rPr>
          <w:rFonts w:hint="eastAsia"/>
          <w:lang w:val="en-US" w:eastAsia="zh-CN"/>
        </w:rPr>
        <w:t>（21）其他相关资料</w:t>
      </w:r>
    </w:p>
    <w:p>
      <w:pPr>
        <w:pStyle w:val="4"/>
        <w:numPr>
          <w:ilvl w:val="0"/>
          <w:numId w:val="1"/>
        </w:numPr>
        <w:spacing w:before="204" w:after="204"/>
      </w:pPr>
      <w:bookmarkStart w:id="34" w:name="_Toc21874"/>
      <w:bookmarkStart w:id="35" w:name="_Toc323"/>
      <w:bookmarkStart w:id="36" w:name="_Toc17280"/>
      <w:r>
        <w:rPr>
          <w:rFonts w:hint="eastAsia"/>
        </w:rPr>
        <w:t>绩效评价工作过程</w:t>
      </w:r>
      <w:bookmarkEnd w:id="34"/>
      <w:bookmarkEnd w:id="35"/>
      <w:bookmarkEnd w:id="36"/>
    </w:p>
    <w:p>
      <w:pPr>
        <w:ind w:firstLine="560"/>
      </w:pPr>
      <w:r>
        <w:rPr>
          <w:rFonts w:hint="eastAsia"/>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w:t>
      </w:r>
      <w:r>
        <w:rPr>
          <w:rFonts w:hint="eastAsia"/>
          <w:lang w:eastAsia="zh-CN"/>
        </w:rPr>
        <w:t>，</w:t>
      </w:r>
      <w:r>
        <w:rPr>
          <w:rFonts w:hint="eastAsia"/>
        </w:rPr>
        <w:t>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5"/>
      </w:pPr>
      <w:bookmarkStart w:id="37" w:name="_Toc25510"/>
      <w:bookmarkStart w:id="38" w:name="_Toc15792"/>
      <w:r>
        <w:rPr>
          <w:rFonts w:hint="eastAsia"/>
        </w:rPr>
        <w:t>1、绩效评价的业务流程</w:t>
      </w:r>
      <w:bookmarkEnd w:id="37"/>
      <w:bookmarkEnd w:id="38"/>
    </w:p>
    <w:p>
      <w:pPr>
        <w:rPr>
          <w:rFonts w:ascii="宋体" w:hAnsi="宋体" w:cs="宋体"/>
          <w:b/>
          <w:bCs/>
        </w:rPr>
      </w:pPr>
      <w:r>
        <w:rPr>
          <w:rFonts w:hint="eastAsia" w:ascii="宋体" w:hAnsi="宋体" w:cs="宋体"/>
          <w:b/>
          <w:bCs/>
        </w:rPr>
        <w:t>（1）评价前期准备</w:t>
      </w:r>
    </w:p>
    <w:p>
      <w:pPr>
        <w:ind w:firstLine="560"/>
      </w:pPr>
      <w:r>
        <w:rPr>
          <w:rFonts w:hint="eastAsia"/>
        </w:rPr>
        <w:t>了解评价对象情况</w:t>
      </w:r>
      <w:r>
        <w:rPr>
          <w:rFonts w:hint="eastAsia"/>
          <w:lang w:eastAsia="zh-CN"/>
        </w:rPr>
        <w:t>，</w:t>
      </w:r>
      <w:r>
        <w:rPr>
          <w:rFonts w:hint="eastAsia"/>
        </w:rPr>
        <w:t>根据相关文件的解读，了解预算绩效管理培训项目情况，确定本次绩效评价类型、适用的原理框架、评价重点领域及涉及到的相关方。</w:t>
      </w:r>
    </w:p>
    <w:p>
      <w:pPr>
        <w:ind w:firstLine="560"/>
      </w:pPr>
      <w:r>
        <w:rPr>
          <w:rFonts w:hint="eastAsia"/>
        </w:rPr>
        <w:t>成立绩效评价团队</w:t>
      </w:r>
      <w:r>
        <w:rPr>
          <w:rFonts w:hint="eastAsia"/>
          <w:lang w:eastAsia="zh-CN"/>
        </w:rPr>
        <w:t>，</w:t>
      </w:r>
      <w:r>
        <w:rPr>
          <w:rFonts w:hint="eastAsia"/>
        </w:rPr>
        <w:t>基于对项目的情况了解，选择合适人员组成绩效评价团队。并履行以下职责：</w:t>
      </w:r>
    </w:p>
    <w:p>
      <w:pPr>
        <w:ind w:firstLine="560"/>
        <w:rPr>
          <w:rFonts w:hint="eastAsia" w:eastAsia="宋体"/>
          <w:lang w:eastAsia="zh-CN"/>
        </w:rPr>
      </w:pPr>
      <w:r>
        <w:rPr>
          <w:rFonts w:hint="eastAsia"/>
        </w:rPr>
        <w:t>①编写评价任务大纲</w:t>
      </w:r>
      <w:r>
        <w:rPr>
          <w:rFonts w:hint="eastAsia"/>
          <w:lang w:eastAsia="zh-CN"/>
        </w:rPr>
        <w:t>；</w:t>
      </w:r>
    </w:p>
    <w:p>
      <w:pPr>
        <w:ind w:firstLine="560"/>
        <w:rPr>
          <w:rFonts w:hint="eastAsia" w:eastAsia="宋体"/>
          <w:lang w:eastAsia="zh-CN"/>
        </w:rPr>
      </w:pPr>
      <w:r>
        <w:rPr>
          <w:rFonts w:hint="eastAsia"/>
        </w:rPr>
        <w:t>②指导并协助评价实施团队理解评价任务大纲内容</w:t>
      </w:r>
      <w:r>
        <w:rPr>
          <w:rFonts w:hint="eastAsia"/>
          <w:lang w:eastAsia="zh-CN"/>
        </w:rPr>
        <w:t>；</w:t>
      </w:r>
    </w:p>
    <w:p>
      <w:pPr>
        <w:ind w:firstLine="560"/>
        <w:rPr>
          <w:rFonts w:hint="eastAsia" w:eastAsia="宋体"/>
          <w:lang w:eastAsia="zh-CN"/>
        </w:rPr>
      </w:pPr>
      <w:r>
        <w:rPr>
          <w:rFonts w:hint="eastAsia"/>
        </w:rPr>
        <w:t>③为开展评价活动提供必要的支持组织协调各项评价活动</w:t>
      </w:r>
      <w:r>
        <w:rPr>
          <w:rFonts w:hint="eastAsia"/>
          <w:lang w:eastAsia="zh-CN"/>
        </w:rPr>
        <w:t>；</w:t>
      </w:r>
    </w:p>
    <w:p>
      <w:pPr>
        <w:ind w:firstLine="560"/>
        <w:rPr>
          <w:rFonts w:hint="eastAsia" w:eastAsia="宋体"/>
          <w:lang w:eastAsia="zh-CN"/>
        </w:rPr>
      </w:pPr>
      <w:r>
        <w:rPr>
          <w:rFonts w:hint="eastAsia"/>
        </w:rPr>
        <w:t>④监督评价活动</w:t>
      </w:r>
      <w:r>
        <w:rPr>
          <w:rFonts w:hint="eastAsia"/>
          <w:lang w:eastAsia="zh-CN"/>
        </w:rPr>
        <w:t>；</w:t>
      </w:r>
    </w:p>
    <w:p>
      <w:pPr>
        <w:ind w:firstLine="560"/>
        <w:rPr>
          <w:rFonts w:hint="eastAsia" w:eastAsia="宋体"/>
          <w:lang w:eastAsia="zh-CN"/>
        </w:rPr>
      </w:pPr>
      <w:r>
        <w:rPr>
          <w:rFonts w:hint="eastAsia"/>
        </w:rPr>
        <w:t>⑤实施评价质量控制</w:t>
      </w:r>
      <w:r>
        <w:rPr>
          <w:rFonts w:hint="eastAsia"/>
          <w:lang w:eastAsia="zh-CN"/>
        </w:rPr>
        <w:t>；</w:t>
      </w:r>
    </w:p>
    <w:p>
      <w:pPr>
        <w:ind w:firstLine="560"/>
        <w:rPr>
          <w:rFonts w:hint="eastAsia" w:eastAsia="宋体"/>
          <w:lang w:eastAsia="zh-CN"/>
        </w:rPr>
      </w:pPr>
      <w:r>
        <w:rPr>
          <w:rFonts w:hint="eastAsia"/>
        </w:rPr>
        <w:t>⑥对评价活动中出现的问题做出及时回应</w:t>
      </w:r>
      <w:r>
        <w:rPr>
          <w:rFonts w:hint="eastAsia"/>
          <w:lang w:eastAsia="zh-CN"/>
        </w:rPr>
        <w:t>；</w:t>
      </w:r>
    </w:p>
    <w:p>
      <w:pPr>
        <w:ind w:firstLine="560"/>
        <w:rPr>
          <w:rFonts w:hint="eastAsia" w:eastAsia="宋体"/>
          <w:lang w:eastAsia="zh-CN"/>
        </w:rPr>
      </w:pPr>
      <w:r>
        <w:rPr>
          <w:rFonts w:hint="eastAsia"/>
        </w:rPr>
        <w:t>⑦负责组织专家审查绩效评价报告初稿并判断其是否符合要求审定绩效评价报告</w:t>
      </w:r>
      <w:r>
        <w:rPr>
          <w:rFonts w:hint="eastAsia"/>
          <w:lang w:eastAsia="zh-CN"/>
        </w:rPr>
        <w:t>；</w:t>
      </w:r>
    </w:p>
    <w:p>
      <w:pPr>
        <w:ind w:firstLine="560"/>
        <w:rPr>
          <w:rFonts w:hint="eastAsia" w:eastAsia="宋体"/>
          <w:lang w:eastAsia="zh-CN"/>
        </w:rPr>
      </w:pPr>
      <w:r>
        <w:rPr>
          <w:rFonts w:hint="eastAsia"/>
        </w:rPr>
        <w:t>⑧实施各项绩效评价工作完成任务大纲</w:t>
      </w:r>
      <w:r>
        <w:rPr>
          <w:rFonts w:hint="eastAsia"/>
          <w:lang w:eastAsia="zh-CN"/>
        </w:rPr>
        <w:t>。</w:t>
      </w:r>
    </w:p>
    <w:p>
      <w:pPr>
        <w:rPr>
          <w:rFonts w:ascii="宋体" w:hAnsi="宋体" w:cs="宋体"/>
          <w:b/>
          <w:bCs/>
        </w:rPr>
      </w:pPr>
      <w:r>
        <w:rPr>
          <w:rFonts w:hint="eastAsia" w:ascii="宋体" w:hAnsi="宋体" w:cs="宋体"/>
          <w:b/>
          <w:bCs/>
        </w:rPr>
        <w:t>（2）绩效评价实施</w:t>
      </w:r>
    </w:p>
    <w:p>
      <w:pPr>
        <w:ind w:firstLine="560"/>
      </w:pPr>
      <w:r>
        <w:rPr>
          <w:rFonts w:hint="eastAsia"/>
        </w:rPr>
        <w:t>评价证据的收集</w:t>
      </w:r>
      <w:r>
        <w:rPr>
          <w:rFonts w:hint="eastAsia"/>
          <w:lang w:eastAsia="zh-CN"/>
        </w:rPr>
        <w:t>，</w:t>
      </w:r>
      <w:r>
        <w:rPr>
          <w:rFonts w:hint="eastAsia"/>
        </w:rPr>
        <w:t>绩效评价工作的科学合理开展建立在坚实的证据基础之上。绩效评价组决定从项目资金入手，安排2名成员到项目实施单位进行财务核查，一方面对专项资金支出合法性、合理性和合规性进行客观、公正的核查，另一方面通过对资金进行梳理汇总分类，掌握项目组织实施的情况</w:t>
      </w:r>
      <w:r>
        <w:rPr>
          <w:rFonts w:hint="eastAsia"/>
          <w:lang w:eastAsia="zh-CN"/>
        </w:rPr>
        <w:t>；</w:t>
      </w:r>
      <w:r>
        <w:rPr>
          <w:rFonts w:hint="eastAsia"/>
        </w:rPr>
        <w:t>重点关注资金支出产生和效益。</w:t>
      </w:r>
    </w:p>
    <w:p>
      <w:pPr>
        <w:ind w:firstLine="560"/>
      </w:pPr>
      <w:r>
        <w:rPr>
          <w:rFonts w:hint="eastAsia"/>
        </w:rPr>
        <w:t>同时，组织对项目负责人及组织实施参与者的深度访谈，以了解项目资金使用的整体情况</w:t>
      </w:r>
      <w:r>
        <w:rPr>
          <w:rFonts w:hint="eastAsia"/>
          <w:lang w:eastAsia="zh-CN"/>
        </w:rPr>
        <w:t>；</w:t>
      </w:r>
      <w:r>
        <w:rPr>
          <w:rFonts w:hint="eastAsia"/>
        </w:rPr>
        <w:t>诸如覆盖人群、使用方式、组织形式、取得成果及存在问题等，为评价组调整工作重点提供信息支撑，也可对项目整体情况形成总体把握。</w:t>
      </w:r>
    </w:p>
    <w:p>
      <w:pPr>
        <w:ind w:firstLine="560"/>
      </w:pPr>
      <w:r>
        <w:rPr>
          <w:rFonts w:hint="eastAsia"/>
        </w:rPr>
        <w:t>然后，对项目组织实施资料进行核实，这一阶段主要是进行项目相关证据的收集，为后续分析及报告撰写做好铺垫。</w:t>
      </w:r>
    </w:p>
    <w:p>
      <w:pPr>
        <w:ind w:firstLine="560"/>
      </w:pPr>
      <w:r>
        <w:rPr>
          <w:rFonts w:hint="eastAsia"/>
        </w:rPr>
        <w:t>另外，对项目组织实施资料进行整理，了解项目实施受益群体范围，并进行问卷调查和组织座谈。</w:t>
      </w:r>
    </w:p>
    <w:p>
      <w:pPr>
        <w:ind w:firstLine="560"/>
      </w:pPr>
      <w:r>
        <w:rPr>
          <w:rFonts w:hint="eastAsia"/>
        </w:rPr>
        <w:t>评价证据审核</w:t>
      </w:r>
      <w:r>
        <w:rPr>
          <w:rFonts w:hint="eastAsia"/>
          <w:lang w:eastAsia="zh-CN"/>
        </w:rPr>
        <w:t>，</w:t>
      </w:r>
      <w:r>
        <w:rPr>
          <w:rFonts w:hint="eastAsia"/>
        </w:rPr>
        <w:t xml:space="preserve">对收集到的评价证据，保持职业怀疑，通过核实基础数据的全面性、真实性以及统计口径的一致性等，增加评价证据的可置信程度。 </w:t>
      </w:r>
    </w:p>
    <w:p>
      <w:pPr>
        <w:ind w:firstLine="560"/>
      </w:pPr>
      <w:r>
        <w:rPr>
          <w:rFonts w:hint="eastAsia"/>
        </w:rPr>
        <w:t>绩效分析与评级</w:t>
      </w:r>
      <w:r>
        <w:rPr>
          <w:rFonts w:hint="eastAsia"/>
          <w:lang w:eastAsia="zh-CN"/>
        </w:rPr>
        <w:t>，</w:t>
      </w:r>
      <w:r>
        <w:rPr>
          <w:rFonts w:hint="eastAsia"/>
        </w:rPr>
        <w:t>运用既定的分析方法，根据收集整理的证据和设定的评分标准进行分析，对各项评价指标进行评分</w:t>
      </w:r>
      <w:r>
        <w:rPr>
          <w:rFonts w:hint="eastAsia"/>
          <w:lang w:eastAsia="zh-CN"/>
        </w:rPr>
        <w:t>，</w:t>
      </w:r>
      <w:r>
        <w:rPr>
          <w:rFonts w:hint="eastAsia"/>
        </w:rPr>
        <w:t>通过加权计算出最终的评价分值，并相应确定绩效等级。</w:t>
      </w:r>
    </w:p>
    <w:p>
      <w:pPr>
        <w:ind w:firstLine="560"/>
      </w:pPr>
      <w:r>
        <w:rPr>
          <w:rFonts w:hint="eastAsia"/>
        </w:rPr>
        <w:t>形成评价结论</w:t>
      </w:r>
      <w:r>
        <w:rPr>
          <w:rFonts w:hint="eastAsia"/>
          <w:lang w:eastAsia="zh-CN"/>
        </w:rPr>
        <w:t>，</w:t>
      </w:r>
      <w:r>
        <w:rPr>
          <w:rFonts w:hint="eastAsia"/>
        </w:rPr>
        <w:t>评价结论按照既定要求在内外部组织讨论，从各评价维度对相关细节问题进行核实并权衡。评价结论说明了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5"/>
      </w:pPr>
      <w:bookmarkStart w:id="39" w:name="_Toc26376"/>
      <w:bookmarkStart w:id="40" w:name="_Toc19972"/>
      <w:r>
        <w:rPr>
          <w:rFonts w:hint="eastAsia"/>
        </w:rPr>
        <w:t>2、形成绩效评价报告</w:t>
      </w:r>
      <w:bookmarkEnd w:id="39"/>
      <w:bookmarkEnd w:id="40"/>
    </w:p>
    <w:p>
      <w:pPr>
        <w:rPr>
          <w:b/>
          <w:bCs/>
        </w:rPr>
      </w:pPr>
      <w:r>
        <w:rPr>
          <w:rFonts w:hint="eastAsia"/>
          <w:b/>
          <w:bCs/>
        </w:rPr>
        <w:t>（1）撰写绩效评价初稿</w:t>
      </w:r>
    </w:p>
    <w:p>
      <w:pPr>
        <w:ind w:firstLine="560"/>
      </w:pPr>
      <w:r>
        <w:t>评价组根据</w:t>
      </w:r>
      <w:r>
        <w:rPr>
          <w:rFonts w:hint="eastAsia"/>
        </w:rPr>
        <w:t>前述绩效分析和评价结论</w:t>
      </w:r>
      <w:r>
        <w:t>，</w:t>
      </w:r>
      <w:r>
        <w:rPr>
          <w:rFonts w:hint="eastAsia"/>
        </w:rPr>
        <w:t>按照要求</w:t>
      </w:r>
      <w:r>
        <w:t>提炼撰写</w:t>
      </w:r>
      <w:r>
        <w:rPr>
          <w:rFonts w:hint="eastAsia"/>
        </w:rPr>
        <w:t>绩效</w:t>
      </w:r>
      <w:r>
        <w:t>报告</w:t>
      </w:r>
      <w:r>
        <w:rPr>
          <w:rFonts w:hint="eastAsia"/>
        </w:rPr>
        <w:t>，并在项目组内部进行审核</w:t>
      </w:r>
      <w:r>
        <w:rPr>
          <w:rFonts w:hint="eastAsia"/>
          <w:lang w:eastAsia="zh-CN"/>
        </w:rPr>
        <w:t>，</w:t>
      </w:r>
      <w:r>
        <w:rPr>
          <w:rFonts w:hint="eastAsia"/>
        </w:rPr>
        <w:t>主要关注报告格式是否规范，内容是否完整</w:t>
      </w:r>
      <w:r>
        <w:rPr>
          <w:rFonts w:hint="eastAsia"/>
          <w:lang w:eastAsia="zh-CN"/>
        </w:rPr>
        <w:t>，</w:t>
      </w:r>
      <w:r>
        <w:rPr>
          <w:rFonts w:hint="eastAsia"/>
        </w:rPr>
        <w:t>绩效数据是否真实、可靠，是否进行了必要的核实工作</w:t>
      </w:r>
      <w:r>
        <w:rPr>
          <w:rFonts w:hint="eastAsia"/>
          <w:lang w:eastAsia="zh-CN"/>
        </w:rPr>
        <w:t>，</w:t>
      </w:r>
      <w:r>
        <w:rPr>
          <w:rFonts w:hint="eastAsia"/>
        </w:rPr>
        <w:t>报告逻辑是否清晰，分析问题是否透彻。</w:t>
      </w:r>
    </w:p>
    <w:p>
      <w:pPr>
        <w:rPr>
          <w:rFonts w:hint="eastAsia"/>
          <w:b/>
          <w:bCs/>
        </w:rPr>
      </w:pPr>
    </w:p>
    <w:p>
      <w:pPr>
        <w:rPr>
          <w:b/>
          <w:bCs/>
        </w:rPr>
      </w:pPr>
      <w:r>
        <w:rPr>
          <w:rFonts w:hint="eastAsia"/>
          <w:b/>
          <w:bCs/>
        </w:rPr>
        <w:t>（2）绩效评价报告复核</w:t>
      </w:r>
    </w:p>
    <w:p>
      <w:pPr>
        <w:ind w:firstLine="560"/>
      </w:pPr>
      <w:r>
        <w:rPr>
          <w:rFonts w:hint="eastAsia"/>
        </w:rPr>
        <w:t>质量复核组将对评价团队提交的评价报告初稿进行复核，主要关注报告结论是否全面、准确</w:t>
      </w:r>
      <w:r>
        <w:rPr>
          <w:rFonts w:hint="eastAsia"/>
          <w:lang w:eastAsia="zh-CN"/>
        </w:rPr>
        <w:t>，</w:t>
      </w:r>
      <w:r>
        <w:rPr>
          <w:rFonts w:hint="eastAsia"/>
        </w:rPr>
        <w:t>经验、教训的总结是否深刻，建议是否可行等。</w:t>
      </w:r>
    </w:p>
    <w:p>
      <w:pPr>
        <w:rPr>
          <w:b/>
          <w:bCs/>
        </w:rPr>
      </w:pPr>
      <w:r>
        <w:rPr>
          <w:rFonts w:hint="eastAsia"/>
          <w:b/>
          <w:bCs/>
        </w:rPr>
        <w:t>（3）形成评价报告终稿</w:t>
      </w:r>
    </w:p>
    <w:p>
      <w:pPr>
        <w:ind w:firstLine="560"/>
      </w:pPr>
      <w:r>
        <w:rPr>
          <w:rFonts w:hint="eastAsia"/>
        </w:rPr>
        <w:t>根据质量复核组提出的意见和建议，修改并完善评价报告。</w:t>
      </w:r>
    </w:p>
    <w:p>
      <w:pPr>
        <w:pStyle w:val="3"/>
        <w:bidi w:val="0"/>
        <w:rPr>
          <w:rFonts w:hint="eastAsia"/>
        </w:rPr>
      </w:pPr>
      <w:bookmarkStart w:id="41" w:name="_Toc1742"/>
      <w:r>
        <w:rPr>
          <w:rFonts w:hint="eastAsia"/>
        </w:rPr>
        <w:t>三、综合评价情况及评价结论</w:t>
      </w:r>
      <w:bookmarkEnd w:id="41"/>
    </w:p>
    <w:p>
      <w:pPr>
        <w:rPr>
          <w:rFonts w:hint="eastAsia" w:ascii="Times New Roman" w:hAnsi="Times New Roman" w:eastAsia="宋体"/>
        </w:rPr>
      </w:pPr>
      <w:r>
        <w:rPr>
          <w:rFonts w:hint="eastAsia" w:ascii="Times New Roman" w:hAnsi="Times New Roman" w:eastAsia="宋体"/>
        </w:rPr>
        <w:t>该项目绩效评价结果采取评分和评级相结合的方式，总分设置为100分，等级划分为四档：</w:t>
      </w:r>
    </w:p>
    <w:p>
      <w:pPr>
        <w:rPr>
          <w:rFonts w:hint="eastAsia" w:ascii="Times New Roman" w:hAnsi="Times New Roman" w:eastAsia="宋体"/>
        </w:rPr>
      </w:pPr>
      <w:r>
        <w:rPr>
          <w:rFonts w:hint="eastAsia" w:ascii="Times New Roman" w:hAnsi="Times New Roman" w:eastAsia="宋体"/>
        </w:rPr>
        <w:t>综合得分在 90（含）-100 分为优；</w:t>
      </w:r>
    </w:p>
    <w:p>
      <w:pPr>
        <w:rPr>
          <w:rFonts w:hint="eastAsia" w:ascii="Times New Roman" w:hAnsi="Times New Roman" w:eastAsia="宋体"/>
        </w:rPr>
      </w:pPr>
      <w:r>
        <w:rPr>
          <w:rFonts w:hint="eastAsia" w:ascii="Times New Roman" w:hAnsi="Times New Roman" w:eastAsia="宋体"/>
        </w:rPr>
        <w:t>综合得分在 80（含）-90 分为良；</w:t>
      </w:r>
    </w:p>
    <w:p>
      <w:pPr>
        <w:rPr>
          <w:rFonts w:hint="eastAsia" w:ascii="Times New Roman" w:hAnsi="Times New Roman" w:eastAsia="宋体"/>
        </w:rPr>
      </w:pPr>
      <w:r>
        <w:rPr>
          <w:rFonts w:hint="eastAsia" w:ascii="Times New Roman" w:hAnsi="Times New Roman" w:eastAsia="宋体"/>
        </w:rPr>
        <w:t>综合得分在 60（含）-80 分为中；</w:t>
      </w:r>
    </w:p>
    <w:p>
      <w:pPr>
        <w:rPr>
          <w:rFonts w:hint="eastAsia" w:ascii="Times New Roman" w:hAnsi="Times New Roman" w:eastAsia="宋体"/>
        </w:rPr>
      </w:pPr>
      <w:r>
        <w:rPr>
          <w:rFonts w:hint="eastAsia" w:ascii="Times New Roman" w:hAnsi="Times New Roman" w:eastAsia="宋体"/>
        </w:rPr>
        <w:t>综合得分在 60 分以下为差。</w:t>
      </w:r>
    </w:p>
    <w:p>
      <w:pPr>
        <w:pStyle w:val="4"/>
        <w:bidi w:val="0"/>
        <w:rPr>
          <w:rFonts w:hint="default"/>
          <w:lang w:val="en-US" w:eastAsia="zh-CN"/>
        </w:rPr>
      </w:pPr>
      <w:bookmarkStart w:id="42" w:name="_Toc29094"/>
      <w:r>
        <w:rPr>
          <w:rFonts w:hint="eastAsia"/>
          <w:lang w:val="en-US" w:eastAsia="zh-CN"/>
        </w:rPr>
        <w:t>（一）综合评价情况</w:t>
      </w:r>
      <w:bookmarkEnd w:id="42"/>
    </w:p>
    <w:bookmarkEnd w:id="14"/>
    <w:p>
      <w:pPr>
        <w:bidi w:val="0"/>
      </w:pPr>
      <w:r>
        <w:t>评价组围绕绩效评价指标体系，通过数据采集分析，实地核查、深度访谈及问卷调查等方式，对该项目绩效进行了客观、公正、合理、有效的评价，最终评价结果为</w:t>
      </w:r>
      <w:r>
        <w:rPr>
          <w:rFonts w:hint="eastAsia"/>
          <w:lang w:val="en-US" w:eastAsia="zh-CN"/>
        </w:rPr>
        <w:t>87.75</w:t>
      </w:r>
      <w:r>
        <w:t>分，依据财政绩效评价等级划分，本项目绩效评价等级为</w:t>
      </w:r>
      <w:r>
        <w:rPr>
          <w:rFonts w:hint="eastAsia"/>
        </w:rPr>
        <w:t>“</w:t>
      </w:r>
      <w:r>
        <w:rPr>
          <w:rFonts w:hint="eastAsia"/>
          <w:lang w:val="en-US" w:eastAsia="zh-CN"/>
        </w:rPr>
        <w:t>良</w:t>
      </w:r>
      <w:r>
        <w:rPr>
          <w:rFonts w:hint="eastAsia"/>
        </w:rPr>
        <w:t>”</w:t>
      </w:r>
      <w: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4"/>
          <w:szCs w:val="22"/>
          <w:lang w:val="en-US" w:eastAsia="zh-CN"/>
        </w:rPr>
      </w:pPr>
      <w:r>
        <w:rPr>
          <w:rFonts w:hint="eastAsia" w:ascii="楷体" w:hAnsi="楷体" w:eastAsia="楷体" w:cs="楷体"/>
          <w:sz w:val="24"/>
          <w:szCs w:val="22"/>
          <w:lang w:val="en-US" w:eastAsia="zh-CN"/>
        </w:rPr>
        <w:t>表2 市政养护工作经费项目绩效评价得分一览表</w:t>
      </w:r>
    </w:p>
    <w:tbl>
      <w:tblPr>
        <w:tblStyle w:val="23"/>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29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一级指标</w:t>
            </w:r>
          </w:p>
        </w:tc>
        <w:tc>
          <w:tcPr>
            <w:tcW w:w="2290"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二级指标</w:t>
            </w:r>
          </w:p>
        </w:tc>
        <w:tc>
          <w:tcPr>
            <w:tcW w:w="1440"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p>
        </w:tc>
        <w:tc>
          <w:tcPr>
            <w:tcW w:w="1982"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决策指标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项目立项</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982" w:type="dxa"/>
            <w:tcBorders>
              <w:top w:val="single" w:color="auto" w:sz="4" w:space="0"/>
              <w:left w:val="nil"/>
              <w:bottom w:val="single" w:color="auto" w:sz="4" w:space="0"/>
              <w:right w:val="single" w:color="auto" w:sz="4" w:space="0"/>
            </w:tcBorders>
            <w:vAlign w:val="center"/>
          </w:tcPr>
          <w:p>
            <w:pPr>
              <w:tabs>
                <w:tab w:val="left" w:pos="596"/>
              </w:tabs>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绩效目标</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资金投入</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过程指标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资金管理</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9</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组织实施</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产出</w:t>
            </w:r>
            <w:r>
              <w:rPr>
                <w:rFonts w:hint="eastAsia" w:ascii="宋体" w:hAnsi="宋体" w:eastAsia="宋体" w:cs="宋体"/>
                <w:sz w:val="21"/>
                <w:szCs w:val="21"/>
                <w:lang w:val="en-US" w:eastAsia="zh-CN"/>
              </w:rPr>
              <w:t>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产出数量</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产出质量</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产出时效</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产出成本</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widowControl/>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效益指标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社会效益</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可持续影响</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满意度</w:t>
            </w:r>
            <w:r>
              <w:rPr>
                <w:rFonts w:hint="eastAsia" w:ascii="宋体" w:hAnsi="宋体" w:eastAsia="宋体" w:cs="宋体"/>
                <w:sz w:val="21"/>
                <w:szCs w:val="21"/>
                <w:lang w:val="en-US" w:eastAsia="zh-CN"/>
              </w:rPr>
              <w:t>指标</w:t>
            </w:r>
          </w:p>
        </w:tc>
        <w:tc>
          <w:tcPr>
            <w:tcW w:w="2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9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b/>
                <w:bCs/>
                <w:sz w:val="21"/>
                <w:szCs w:val="21"/>
              </w:rPr>
              <w:t>合计</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100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b/>
                <w:bCs/>
                <w:color w:val="auto"/>
                <w:sz w:val="21"/>
                <w:szCs w:val="21"/>
                <w:lang w:val="en-US" w:eastAsia="zh-CN"/>
              </w:rPr>
              <w:t>87.75</w:t>
            </w:r>
          </w:p>
        </w:tc>
      </w:tr>
    </w:tbl>
    <w:p>
      <w:pPr>
        <w:pStyle w:val="4"/>
        <w:bidi w:val="0"/>
        <w:rPr>
          <w:rFonts w:hint="eastAsia"/>
          <w:lang w:val="en-US" w:eastAsia="zh-CN"/>
        </w:rPr>
      </w:pPr>
      <w:bookmarkStart w:id="43" w:name="_Toc19879"/>
      <w:bookmarkStart w:id="44" w:name="_Toc11291"/>
      <w:r>
        <w:rPr>
          <w:rFonts w:hint="eastAsia"/>
          <w:lang w:eastAsia="zh-CN"/>
        </w:rPr>
        <w:t>（</w:t>
      </w:r>
      <w:r>
        <w:rPr>
          <w:rFonts w:hint="eastAsia"/>
          <w:lang w:val="en-US" w:eastAsia="zh-CN"/>
        </w:rPr>
        <w:t>二</w:t>
      </w:r>
      <w:r>
        <w:rPr>
          <w:rFonts w:hint="eastAsia"/>
          <w:lang w:eastAsia="zh-CN"/>
        </w:rPr>
        <w:t>）</w:t>
      </w:r>
      <w:r>
        <w:rPr>
          <w:rFonts w:hint="eastAsia"/>
          <w:lang w:val="en-US" w:eastAsia="zh-CN"/>
        </w:rPr>
        <w:t>评价结论</w:t>
      </w:r>
      <w:bookmarkEnd w:id="43"/>
    </w:p>
    <w:p>
      <w:pPr>
        <w:rPr>
          <w:rFonts w:hint="default"/>
          <w:lang w:val="en-US" w:eastAsia="zh-CN"/>
        </w:rPr>
      </w:pPr>
      <w:r>
        <w:rPr>
          <w:rFonts w:hint="eastAsia"/>
          <w:lang w:val="en-US" w:eastAsia="zh-CN"/>
        </w:rPr>
        <w:t>市政养护工作经费项目</w:t>
      </w:r>
      <w:r>
        <w:rPr>
          <w:rFonts w:hint="default"/>
          <w:lang w:val="en-US" w:eastAsia="zh-CN"/>
        </w:rPr>
        <w:t>基本达到预期目标，</w:t>
      </w:r>
      <w:r>
        <w:rPr>
          <w:rFonts w:hint="eastAsia"/>
          <w:lang w:val="en-US" w:eastAsia="zh-CN"/>
        </w:rPr>
        <w:t>积极有效开展了市政工程管理、市政道路养护、路灯安装及维修工作，做到了日常巡查和维修工作有序进行，通过开展断头路改造工程使得路面通行率提升，极大便利了群众出行；通过更换灯具提升辖区亮灯率，市民投诉率下降，群众满意情况较好。</w:t>
      </w:r>
    </w:p>
    <w:p>
      <w:pPr>
        <w:rPr>
          <w:rFonts w:hint="default"/>
          <w:lang w:val="en-US" w:eastAsia="zh-CN"/>
        </w:rPr>
      </w:pPr>
      <w:r>
        <w:rPr>
          <w:rFonts w:hint="default"/>
          <w:lang w:val="en-US" w:eastAsia="zh-CN"/>
        </w:rPr>
        <w:t>项目实施过程中未发现重大违规事项，但存在</w:t>
      </w:r>
      <w:r>
        <w:rPr>
          <w:rFonts w:hint="eastAsia"/>
          <w:lang w:val="en-US" w:eastAsia="zh-CN"/>
        </w:rPr>
        <w:t>业务管理制度</w:t>
      </w:r>
      <w:r>
        <w:rPr>
          <w:rFonts w:hint="default"/>
          <w:lang w:val="en-US" w:eastAsia="zh-CN"/>
        </w:rPr>
        <w:t>不健全</w:t>
      </w:r>
      <w:r>
        <w:rPr>
          <w:rFonts w:hint="eastAsia"/>
          <w:lang w:val="en-US" w:eastAsia="zh-CN"/>
        </w:rPr>
        <w:t>、部分合同签订</w:t>
      </w:r>
      <w:r>
        <w:rPr>
          <w:rFonts w:hint="default"/>
          <w:lang w:val="en-US" w:eastAsia="zh-CN"/>
        </w:rPr>
        <w:t>不规范</w:t>
      </w:r>
      <w:r>
        <w:rPr>
          <w:rFonts w:hint="eastAsia"/>
          <w:lang w:val="en-US" w:eastAsia="zh-CN"/>
        </w:rPr>
        <w:t>、项目辅助明细账管理待提升</w:t>
      </w:r>
      <w:r>
        <w:rPr>
          <w:rFonts w:hint="default"/>
          <w:lang w:val="en-US" w:eastAsia="zh-CN"/>
        </w:rPr>
        <w:t>等问题。</w:t>
      </w:r>
    </w:p>
    <w:p>
      <w:pPr>
        <w:pStyle w:val="3"/>
      </w:pPr>
      <w:bookmarkStart w:id="45" w:name="_Toc30515"/>
      <w:r>
        <w:rPr>
          <w:rFonts w:hint="eastAsia"/>
        </w:rPr>
        <w:t>四、绩效评价指标分析</w:t>
      </w:r>
      <w:bookmarkEnd w:id="44"/>
      <w:bookmarkEnd w:id="45"/>
    </w:p>
    <w:p>
      <w:pPr>
        <w:pStyle w:val="4"/>
        <w:spacing w:before="204" w:after="204"/>
      </w:pPr>
      <w:bookmarkStart w:id="46" w:name="_Toc25121"/>
      <w:bookmarkStart w:id="47" w:name="_Toc18515"/>
      <w:r>
        <w:rPr>
          <w:rFonts w:hint="eastAsia"/>
        </w:rPr>
        <w:t>（一）项目决策情况</w:t>
      </w:r>
      <w:bookmarkEnd w:id="46"/>
      <w:bookmarkEnd w:id="47"/>
    </w:p>
    <w:p>
      <w:pPr>
        <w:pStyle w:val="5"/>
        <w:bidi w:val="0"/>
        <w:rPr>
          <w:rFonts w:hint="eastAsia"/>
        </w:rPr>
      </w:pPr>
      <w:r>
        <w:rPr>
          <w:rFonts w:hint="eastAsia"/>
          <w:lang w:val="en-US" w:eastAsia="zh-CN"/>
        </w:rPr>
        <w:t>1、</w:t>
      </w:r>
      <w:r>
        <w:rPr>
          <w:rFonts w:hint="eastAsia"/>
        </w:rPr>
        <w:t>项目立项</w:t>
      </w:r>
    </w:p>
    <w:p>
      <w:pPr>
        <w:ind w:firstLine="56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立项依据充分性</w:t>
      </w:r>
    </w:p>
    <w:p>
      <w:pPr>
        <w:ind w:firstLine="560"/>
        <w:rPr>
          <w:rFonts w:hint="eastAsia"/>
          <w:lang w:val="en-US" w:eastAsia="zh-CN"/>
        </w:rPr>
      </w:pPr>
      <w:r>
        <w:rPr>
          <w:rFonts w:hint="eastAsia"/>
          <w:lang w:val="en-US" w:eastAsia="zh-CN"/>
        </w:rPr>
        <w:t>《南昌市市政工程设施管理条例》规定“区市政行政管理部门按照管理权限负责本行政区域内的市政工程设施行政管理工作”，故市政养护工作经费项目立项符合相关政策要求。东湖区市政养护管理所机构职能包括：负责区辖147条道路巡查工作，负责区辖147条道路、排水设施的日常养护维修管理工作，负责市、区城管网下派市政设施问题的限期整改，负责申请办理《道路挖掘许可证》的部分管线施工单位管线破挖路面工程的修复，负责城区防汛排涝工作任务等；故项目立项与区市政所单位职责范围相符，属于单位履职所需，未发现与相关部门同类项目或部门内部相关项目重复。</w:t>
      </w:r>
    </w:p>
    <w:p>
      <w:pPr>
        <w:ind w:firstLine="560"/>
        <w:rPr>
          <w:rFonts w:hint="eastAsia" w:ascii="宋体" w:hAnsi="宋体" w:eastAsia="宋体" w:cs="宋体"/>
          <w:b/>
          <w:bCs/>
          <w:lang w:val="en-US" w:eastAsia="zh-CN"/>
        </w:rPr>
      </w:pPr>
      <w:r>
        <w:rPr>
          <w:rFonts w:hint="eastAsia" w:ascii="宋体" w:hAnsi="宋体" w:eastAsia="宋体" w:cs="宋体"/>
          <w:b/>
          <w:bCs/>
          <w:lang w:val="en-US" w:eastAsia="zh-CN"/>
        </w:rPr>
        <w:t>（2）立项程序规范性</w:t>
      </w:r>
    </w:p>
    <w:p>
      <w:pPr>
        <w:bidi w:val="0"/>
        <w:rPr>
          <w:rFonts w:hint="default"/>
          <w:lang w:val="en-US" w:eastAsia="zh-CN"/>
        </w:rPr>
      </w:pPr>
      <w:r>
        <w:rPr>
          <w:rFonts w:hint="eastAsia"/>
          <w:lang w:val="en-US" w:eastAsia="zh-CN"/>
        </w:rPr>
        <w:t>市政养护工作经费项目按照要求在预算系统进行申报，并形成有项目申报书，已获得区十六届人大五次会议审议批准，并由区财政局下发《关于下达二〇二〇年度预算支出指标的通知》（东财字[2020]22号）文件确定项目支出指标，项目立项程序规范性情况良好。</w:t>
      </w:r>
    </w:p>
    <w:p>
      <w:pPr>
        <w:pStyle w:val="5"/>
        <w:bidi w:val="0"/>
        <w:rPr>
          <w:rFonts w:hint="eastAsia"/>
          <w:lang w:val="en-US" w:eastAsia="zh-CN"/>
        </w:rPr>
      </w:pPr>
      <w:r>
        <w:rPr>
          <w:rFonts w:hint="eastAsia"/>
          <w:lang w:val="en-US" w:eastAsia="zh-CN"/>
        </w:rPr>
        <w:t>2、绩效目标</w:t>
      </w:r>
    </w:p>
    <w:p>
      <w:pPr>
        <w:bidi w:val="0"/>
        <w:rPr>
          <w:rFonts w:hint="eastAsia"/>
          <w:b/>
          <w:bCs/>
          <w:lang w:val="en-US" w:eastAsia="zh-CN"/>
        </w:rPr>
      </w:pPr>
      <w:r>
        <w:rPr>
          <w:rFonts w:hint="eastAsia"/>
          <w:b/>
          <w:bCs/>
          <w:lang w:val="en-US" w:eastAsia="zh-CN"/>
        </w:rPr>
        <w:t>（1）绩效目标合理性</w:t>
      </w:r>
    </w:p>
    <w:p>
      <w:pPr>
        <w:bidi w:val="0"/>
        <w:rPr>
          <w:rFonts w:hint="default"/>
          <w:lang w:val="en-US" w:eastAsia="zh-CN"/>
        </w:rPr>
      </w:pPr>
      <w:r>
        <w:rPr>
          <w:rFonts w:hint="eastAsia"/>
          <w:lang w:val="en-US" w:eastAsia="zh-CN"/>
        </w:rPr>
        <w:t>市政养护经费项目设置有绩效目标，绩效目标为“继续加强我区市政道路设施的精细化管理，对辖区内的设施进行排查治理，包括路面、路缘石、人行道、检查井、路灯等设施，发现问题及时处理。确保道路路面平整，无坑槽，井盖齐全无缺损；人行道道面平整，铺砌无松动、残缺，缘石、踏步稳定牢固，无障碍盲道设置规范无缺损。同时针对我区管养的道路中有积水的路段，进行积水点改造、排水管网疏通等，实施积水“阻改通”工程”，与项目实际内容具有相关性，项目预期产出效益为“通过精细化管理，确保本年度全区各项市政基础的完好率和正常有效使用率”，符合正常的业绩水平。实际项目支出超出项目申报时填报的预算数额，且实际预期目标未完全达成，故与项目预算确定的资金量匹配度较低。</w:t>
      </w:r>
    </w:p>
    <w:p>
      <w:pPr>
        <w:bidi w:val="0"/>
        <w:rPr>
          <w:rFonts w:hint="eastAsia"/>
          <w:b/>
          <w:bCs/>
          <w:lang w:val="en-US" w:eastAsia="zh-CN"/>
        </w:rPr>
      </w:pPr>
      <w:r>
        <w:rPr>
          <w:rFonts w:hint="eastAsia"/>
          <w:b/>
          <w:bCs/>
          <w:lang w:val="en-US" w:eastAsia="zh-CN"/>
        </w:rPr>
        <w:t>（2）绩效指标明确性</w:t>
      </w:r>
    </w:p>
    <w:p>
      <w:pPr>
        <w:bidi w:val="0"/>
        <w:rPr>
          <w:rFonts w:hint="default"/>
          <w:lang w:val="en-US" w:eastAsia="zh-CN"/>
        </w:rPr>
      </w:pPr>
      <w:r>
        <w:rPr>
          <w:rFonts w:hint="eastAsia"/>
          <w:lang w:val="en-US" w:eastAsia="zh-CN"/>
        </w:rPr>
        <w:t>区市政所已将项目绩效目标细化分解为具体的绩效指标，且已通过清晰、可衡量的指标予以体现。市政道路管护数量和管护路面面积等均已明确，由于区市政所未制定项目年度工作计划，同时无相关市政管护范围文件，故无法判断绩效指标是否与项目目标任务数相对应。根据南昌市东湖区人民政府网站公开的东湖区市政养护管理所机构职能包含“负责区辖147条道路、排水设施的日常养护维修管理工作”，绩效指标中数量指标为管护市政道路181条，与职责确定的工作范围不符（经询问区市政所对接人员，无法确定项目绩效目标申报时数据来源）。</w:t>
      </w:r>
    </w:p>
    <w:p>
      <w:pPr>
        <w:pStyle w:val="5"/>
        <w:bidi w:val="0"/>
        <w:rPr>
          <w:rFonts w:hint="eastAsia"/>
          <w:lang w:val="en-US" w:eastAsia="zh-CN"/>
        </w:rPr>
      </w:pPr>
      <w:r>
        <w:rPr>
          <w:rFonts w:hint="eastAsia"/>
          <w:lang w:val="en-US" w:eastAsia="zh-CN"/>
        </w:rPr>
        <w:t>3、资金投入</w:t>
      </w:r>
    </w:p>
    <w:p>
      <w:pPr>
        <w:rPr>
          <w:rFonts w:hint="default"/>
          <w:b/>
          <w:bCs/>
          <w:lang w:val="en-US" w:eastAsia="zh-CN"/>
        </w:rPr>
      </w:pPr>
      <w:r>
        <w:rPr>
          <w:rFonts w:hint="eastAsia"/>
          <w:b/>
          <w:bCs/>
          <w:lang w:val="en-US" w:eastAsia="zh-CN"/>
        </w:rPr>
        <w:t>（1）预算编制科学性</w:t>
      </w:r>
    </w:p>
    <w:p>
      <w:pPr>
        <w:bidi w:val="0"/>
        <w:rPr>
          <w:rFonts w:hint="default"/>
          <w:lang w:val="en-US" w:eastAsia="zh-CN"/>
        </w:rPr>
      </w:pPr>
      <w:r>
        <w:rPr>
          <w:rFonts w:hint="eastAsia"/>
          <w:lang w:val="en-US" w:eastAsia="zh-CN"/>
        </w:rPr>
        <w:t>区市政所市政养护工作经费项目预算编制主要依据《南昌市人民政府办公厅抄告单》（洪府厅抄字[2013]352号）文件确定的南昌市城市基础设施管护经费调整标准进行编制，根据市政地面设施类型及长度、面积，市政排水设施类型及长度、数量等确定，预算编制较为科学，预算内容与项目内容相匹配，预算测算依据充分，按照南昌市城市基础设施管护经费标准编制，但根据项目实际使用情况来看，项目确定的投资额与工作任务未匹配。</w:t>
      </w:r>
    </w:p>
    <w:p>
      <w:pPr>
        <w:ind w:firstLine="560"/>
        <w:rPr>
          <w:rFonts w:hint="eastAsia"/>
          <w:b/>
          <w:bCs/>
          <w:lang w:val="en-US" w:eastAsia="zh-CN"/>
        </w:rPr>
      </w:pPr>
      <w:r>
        <w:rPr>
          <w:rFonts w:hint="eastAsia"/>
          <w:b/>
          <w:bCs/>
          <w:lang w:val="en-US" w:eastAsia="zh-CN"/>
        </w:rPr>
        <w:t>（2）资金分配合理性</w:t>
      </w:r>
    </w:p>
    <w:p>
      <w:pPr>
        <w:bidi w:val="0"/>
        <w:rPr>
          <w:rFonts w:hint="default"/>
          <w:lang w:val="en-US" w:eastAsia="zh-CN"/>
        </w:rPr>
      </w:pPr>
      <w:bookmarkStart w:id="48" w:name="_Toc18017"/>
      <w:r>
        <w:rPr>
          <w:rFonts w:hint="eastAsia"/>
          <w:lang w:val="en-US" w:eastAsia="zh-CN"/>
        </w:rPr>
        <w:t>项目资金均用于支付市政设施维护相关费用，资金主要据实支付，与项目实际相适应。</w:t>
      </w:r>
    </w:p>
    <w:p>
      <w:pPr>
        <w:pStyle w:val="4"/>
        <w:spacing w:before="204" w:after="204"/>
        <w:rPr>
          <w:rFonts w:hint="eastAsia"/>
        </w:rPr>
      </w:pPr>
      <w:bookmarkStart w:id="49" w:name="_Toc6233"/>
      <w:r>
        <w:rPr>
          <w:rFonts w:hint="eastAsia"/>
        </w:rPr>
        <w:t>（二）项目过程情况</w:t>
      </w:r>
      <w:bookmarkEnd w:id="48"/>
      <w:bookmarkEnd w:id="49"/>
    </w:p>
    <w:p>
      <w:pPr>
        <w:pStyle w:val="5"/>
        <w:bidi w:val="0"/>
        <w:rPr>
          <w:rFonts w:hint="eastAsia"/>
        </w:rPr>
      </w:pPr>
      <w:bookmarkStart w:id="50" w:name="_Toc11422"/>
      <w:r>
        <w:rPr>
          <w:rFonts w:hint="eastAsia"/>
          <w:lang w:val="en-US" w:eastAsia="zh-CN"/>
        </w:rPr>
        <w:t>1、</w:t>
      </w:r>
      <w:r>
        <w:rPr>
          <w:rFonts w:hint="eastAsia"/>
        </w:rPr>
        <w:t>资金管理</w:t>
      </w:r>
    </w:p>
    <w:p>
      <w:pPr>
        <w:bidi w:val="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资金到位率</w:t>
      </w:r>
    </w:p>
    <w:p>
      <w:pPr>
        <w:bidi w:val="0"/>
        <w:rPr>
          <w:rFonts w:hint="default"/>
          <w:b/>
          <w:bCs/>
          <w:lang w:val="en-US" w:eastAsia="zh-CN"/>
        </w:rPr>
      </w:pPr>
      <w:r>
        <w:rPr>
          <w:rFonts w:hint="eastAsia"/>
        </w:rPr>
        <w:t>资金到位率=（实际到位资金/预算资金）*100%=（</w:t>
      </w:r>
      <w:r>
        <w:rPr>
          <w:rFonts w:hint="eastAsia"/>
          <w:lang w:val="en-US" w:eastAsia="zh-CN"/>
        </w:rPr>
        <w:t>270</w:t>
      </w:r>
      <w:r>
        <w:rPr>
          <w:rFonts w:hint="eastAsia"/>
        </w:rPr>
        <w:t>/</w:t>
      </w:r>
      <w:r>
        <w:rPr>
          <w:rFonts w:hint="eastAsia"/>
          <w:lang w:val="en-US" w:eastAsia="zh-CN"/>
        </w:rPr>
        <w:t>360</w:t>
      </w:r>
      <w:r>
        <w:rPr>
          <w:rFonts w:hint="eastAsia"/>
        </w:rPr>
        <w:t>）*100%=</w:t>
      </w:r>
      <w:r>
        <w:rPr>
          <w:rFonts w:hint="eastAsia"/>
          <w:lang w:val="en-US" w:eastAsia="zh-CN"/>
        </w:rPr>
        <w:t>75</w:t>
      </w:r>
      <w:r>
        <w:rPr>
          <w:rFonts w:hint="eastAsia"/>
        </w:rPr>
        <w:t>%，</w:t>
      </w:r>
      <w:r>
        <w:rPr>
          <w:rFonts w:hint="eastAsia"/>
          <w:lang w:val="en-US" w:eastAsia="zh-CN"/>
        </w:rPr>
        <w:t>项目年度预算安排为360万元，实际按季度拨付，2020年第四季度资金实际于2021年发放，资金落实对项目的保障程度有待增强。</w:t>
      </w:r>
    </w:p>
    <w:p>
      <w:pPr>
        <w:bidi w:val="0"/>
        <w:rPr>
          <w:rFonts w:hint="default"/>
          <w:b/>
          <w:bCs/>
          <w:lang w:val="en-US" w:eastAsia="zh-CN"/>
        </w:rPr>
      </w:pPr>
      <w:r>
        <w:rPr>
          <w:rFonts w:hint="eastAsia"/>
          <w:b/>
          <w:bCs/>
          <w:lang w:val="en-US" w:eastAsia="zh-CN"/>
        </w:rPr>
        <w:t>（2）预算执行率</w:t>
      </w:r>
    </w:p>
    <w:p>
      <w:pPr>
        <w:ind w:firstLine="560"/>
        <w:rPr>
          <w:rFonts w:hint="eastAsia"/>
          <w:lang w:val="en-US" w:eastAsia="zh-CN"/>
        </w:rPr>
      </w:pPr>
      <w:r>
        <w:rPr>
          <w:rFonts w:hint="eastAsia"/>
          <w:lang w:val="en-US" w:eastAsia="zh-CN"/>
        </w:rPr>
        <w:t>预算执行率</w:t>
      </w:r>
      <w:r>
        <w:rPr>
          <w:rFonts w:hint="eastAsia"/>
        </w:rPr>
        <w:t>=（</w:t>
      </w:r>
      <w:r>
        <w:rPr>
          <w:rFonts w:hint="eastAsia"/>
          <w:lang w:val="en-US" w:eastAsia="zh-CN"/>
        </w:rPr>
        <w:t>实际支出资金</w:t>
      </w:r>
      <w:r>
        <w:rPr>
          <w:rFonts w:hint="eastAsia"/>
        </w:rPr>
        <w:t>/实际到位资金）*100%=（</w:t>
      </w:r>
      <w:r>
        <w:rPr>
          <w:rFonts w:hint="eastAsia"/>
          <w:b w:val="0"/>
          <w:bCs w:val="0"/>
          <w:highlight w:val="none"/>
          <w:lang w:val="en-US" w:eastAsia="zh-CN"/>
        </w:rPr>
        <w:t>432.99</w:t>
      </w:r>
      <w:r>
        <w:rPr>
          <w:rFonts w:hint="eastAsia"/>
          <w:lang w:val="en-US" w:eastAsia="zh-CN"/>
        </w:rPr>
        <w:t>/270</w:t>
      </w:r>
      <w:r>
        <w:rPr>
          <w:rFonts w:hint="eastAsia"/>
        </w:rPr>
        <w:t>）*100%=</w:t>
      </w:r>
      <w:r>
        <w:rPr>
          <w:rFonts w:hint="eastAsia"/>
          <w:lang w:val="en-US" w:eastAsia="zh-CN"/>
        </w:rPr>
        <w:t>160.37%</w:t>
      </w:r>
      <w:r>
        <w:rPr>
          <w:rFonts w:hint="eastAsia"/>
          <w:lang w:eastAsia="zh-CN"/>
        </w:rPr>
        <w:t>，</w:t>
      </w:r>
      <w:r>
        <w:rPr>
          <w:rFonts w:hint="eastAsia"/>
          <w:lang w:val="en-US" w:eastAsia="zh-CN"/>
        </w:rPr>
        <w:t>预算执行情况良好，区市政所为差额拨款事业单位，超额使用部分资金使用工程收入垫付。</w:t>
      </w:r>
    </w:p>
    <w:p>
      <w:pPr>
        <w:ind w:firstLine="560"/>
        <w:rPr>
          <w:rFonts w:hint="eastAsia"/>
          <w:b/>
          <w:bCs/>
          <w:lang w:val="en-US" w:eastAsia="zh-CN"/>
        </w:rPr>
      </w:pPr>
      <w:r>
        <w:rPr>
          <w:rFonts w:hint="eastAsia"/>
          <w:b/>
          <w:bCs/>
          <w:lang w:val="en-US" w:eastAsia="zh-CN"/>
        </w:rPr>
        <w:t>（3）资金使用合规性</w:t>
      </w:r>
    </w:p>
    <w:p>
      <w:pPr>
        <w:bidi w:val="0"/>
        <w:rPr>
          <w:rFonts w:hint="default"/>
          <w:lang w:val="en-US" w:eastAsia="zh-CN"/>
        </w:rPr>
      </w:pPr>
      <w:r>
        <w:rPr>
          <w:rFonts w:hint="eastAsia"/>
          <w:lang w:val="en-US" w:eastAsia="zh-CN"/>
        </w:rPr>
        <w:t>市政养护管理所未针对市政养护工作经费制定专项资金管理办法，项目资金使用符合《东湖区市政养护管理所财务管理制度》要求，资金的拨付有完整的审批程序和手续，请款单均有领导批示和财务主管前面、请款人签名。针对工程支出附有付款计划表，明确了工程内容、决算金额、按合同规定的应付款比例和金额、已付款和本次付款情况，并且有所领导、所分管领导、财务复核人员和请款部门人员签字。资金用于市政设施养护维修等，符合预算批复的用途，未发现截留、挤占、挪用、虚列支出等情况。</w:t>
      </w:r>
    </w:p>
    <w:p>
      <w:pPr>
        <w:pStyle w:val="5"/>
        <w:bidi w:val="0"/>
        <w:rPr>
          <w:rFonts w:hint="eastAsia"/>
        </w:rPr>
      </w:pPr>
      <w:r>
        <w:rPr>
          <w:rFonts w:hint="eastAsia"/>
          <w:lang w:val="en-US" w:eastAsia="zh-CN"/>
        </w:rPr>
        <w:t>2、</w:t>
      </w:r>
      <w:r>
        <w:rPr>
          <w:rFonts w:hint="eastAsia"/>
        </w:rPr>
        <w:t>组织实施</w:t>
      </w:r>
    </w:p>
    <w:p>
      <w:pPr>
        <w:bidi w:val="0"/>
        <w:rPr>
          <w:rFonts w:hint="default"/>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管理制度健全性</w:t>
      </w:r>
    </w:p>
    <w:p>
      <w:pPr>
        <w:ind w:firstLine="560"/>
        <w:rPr>
          <w:rFonts w:hint="eastAsia"/>
          <w:lang w:val="en-US" w:eastAsia="zh-CN"/>
        </w:rPr>
      </w:pPr>
      <w:r>
        <w:rPr>
          <w:rFonts w:hint="eastAsia"/>
          <w:lang w:val="en-US" w:eastAsia="zh-CN"/>
        </w:rPr>
        <w:t>财务管理方面，区市政所未针对市政养护工作经费项目制定专项资金管理办法，主要依据《东湖区市政养护管理所财务管理制度》和《东湖区市政养护管理所工程专项资金财务管理制度》进行资金管理，财务管理制度总体能够规范各项资金使用，但由于缺乏专项资金管理制度，项目资金使用范围不够明确。</w:t>
      </w:r>
    </w:p>
    <w:p>
      <w:pPr>
        <w:ind w:firstLine="560"/>
        <w:rPr>
          <w:rFonts w:hint="default"/>
          <w:lang w:val="en-US" w:eastAsia="zh-CN"/>
        </w:rPr>
      </w:pPr>
      <w:r>
        <w:rPr>
          <w:rFonts w:hint="eastAsia"/>
          <w:lang w:val="en-US" w:eastAsia="zh-CN"/>
        </w:rPr>
        <w:t>业务管理方面，区市政所制定有《东湖区市政所防汛排涝工作预案》、《养护队日常维修管理办法》、《清掏制度》、《暴雨应急处理办法》、《道路积水处理办法》、《养护队工作制度》、《养护队人员工作规范》和《养护维修管理方案》，业务管理制度较为分散，缺乏系统性，未能形成一套完整的工作制度，对项目工作开展的管理作用有待加强。</w:t>
      </w:r>
    </w:p>
    <w:p>
      <w:pPr>
        <w:ind w:firstLine="560"/>
        <w:rPr>
          <w:rFonts w:hint="eastAsia"/>
          <w:b/>
          <w:bCs/>
          <w:lang w:val="en-US" w:eastAsia="zh-CN"/>
        </w:rPr>
      </w:pPr>
      <w:r>
        <w:rPr>
          <w:rFonts w:hint="eastAsia"/>
          <w:b/>
          <w:bCs/>
          <w:lang w:val="en-US" w:eastAsia="zh-CN"/>
        </w:rPr>
        <w:t>（2）制度执行有效性</w:t>
      </w:r>
    </w:p>
    <w:p>
      <w:pPr>
        <w:rPr>
          <w:rFonts w:hint="default"/>
          <w:b w:val="0"/>
          <w:bCs w:val="0"/>
          <w:lang w:val="en-US" w:eastAsia="zh-CN"/>
        </w:rPr>
      </w:pPr>
      <w:r>
        <w:rPr>
          <w:rFonts w:hint="eastAsia"/>
          <w:b w:val="0"/>
          <w:bCs w:val="0"/>
          <w:lang w:val="en-US" w:eastAsia="zh-CN"/>
        </w:rPr>
        <w:t>财务制度执行情况良好，各项支出均能按照制度要求进行拨付，业务制度执行情况有待增强。如：清掏制度中规定需对养护队清掏情况进行考评计分，实际未进行考核，原因主要是以前年度工作完成情况较好，故未继续执行考核，养护维修管理方案规定施工队伍之间要进行评比，按照排名每季度结算工程款的90%、80%、70%，实际未进行评比。区市政所业务管理制度执行力度有待增强，针对不适用的制度应当及时进行修订。</w:t>
      </w:r>
    </w:p>
    <w:p>
      <w:pPr>
        <w:pStyle w:val="4"/>
        <w:spacing w:before="204" w:after="204"/>
        <w:rPr>
          <w:rFonts w:hint="eastAsia"/>
        </w:rPr>
      </w:pPr>
      <w:bookmarkStart w:id="51" w:name="_Toc6149"/>
      <w:r>
        <w:rPr>
          <w:rFonts w:hint="eastAsia"/>
        </w:rPr>
        <w:t>（三）项目产出情况</w:t>
      </w:r>
      <w:bookmarkEnd w:id="50"/>
      <w:bookmarkEnd w:id="51"/>
    </w:p>
    <w:p>
      <w:pPr>
        <w:rPr>
          <w:rFonts w:hint="default" w:eastAsia="宋体"/>
          <w:lang w:val="en-US" w:eastAsia="zh-CN"/>
        </w:rPr>
      </w:pPr>
      <w:r>
        <w:rPr>
          <w:rFonts w:hint="eastAsia"/>
          <w:lang w:val="en-US" w:eastAsia="zh-CN"/>
        </w:rPr>
        <w:t>由于区市政所未制定详细的年度工作计划，同时市政维修工作主要受设施损坏的实际情况影响，难以设置养护目标，故项目产出数量主要以区市政所年初申报的目标作为标准进行考核完成情况，评价小组主要针对项目完成质量情况进行考核。</w:t>
      </w:r>
    </w:p>
    <w:p>
      <w:pPr>
        <w:pStyle w:val="5"/>
        <w:bidi w:val="0"/>
        <w:rPr>
          <w:rFonts w:hint="eastAsia"/>
        </w:rPr>
      </w:pPr>
      <w:r>
        <w:rPr>
          <w:rFonts w:hint="eastAsia"/>
          <w:lang w:val="en-US" w:eastAsia="zh-CN"/>
        </w:rPr>
        <w:t>1、</w:t>
      </w:r>
      <w:r>
        <w:rPr>
          <w:rFonts w:hint="eastAsia"/>
        </w:rPr>
        <w:t>产出数量</w:t>
      </w:r>
    </w:p>
    <w:p>
      <w:pPr>
        <w:bidi w:val="0"/>
        <w:rPr>
          <w:rFonts w:hint="eastAsia"/>
          <w:b/>
          <w:bCs/>
          <w:lang w:val="en-US" w:eastAsia="zh-CN"/>
        </w:rPr>
      </w:pPr>
      <w:r>
        <w:rPr>
          <w:rFonts w:hint="eastAsia"/>
          <w:b/>
          <w:bCs/>
          <w:lang w:val="en-US" w:eastAsia="zh-CN"/>
        </w:rPr>
        <w:t>（1）道路维修长度</w:t>
      </w:r>
    </w:p>
    <w:p>
      <w:pPr>
        <w:bidi w:val="0"/>
        <w:rPr>
          <w:rFonts w:hint="default"/>
          <w:lang w:val="en-US" w:eastAsia="zh-CN"/>
        </w:rPr>
      </w:pPr>
      <w:r>
        <w:rPr>
          <w:rFonts w:hint="eastAsia"/>
          <w:lang w:val="en-US" w:eastAsia="zh-CN"/>
        </w:rPr>
        <w:t>根据《市政养护工作经费项目预算绩效目标申报表》，区市政养护管理所需要管护市政道路181条，涉及路面105.51万平方米，人行道39.52平方米。实际道路养护维修工作共完成沥青路面11301平方米，车行道水泥3651平方米、水稳5495平方米，人行道板11177平方米，人行道水泥6692平方米。</w:t>
      </w:r>
    </w:p>
    <w:p>
      <w:pPr>
        <w:bidi w:val="0"/>
        <w:rPr>
          <w:rFonts w:hint="eastAsia"/>
          <w:lang w:val="en-US" w:eastAsia="zh-CN"/>
        </w:rPr>
      </w:pPr>
      <w:r>
        <w:rPr>
          <w:rFonts w:hint="eastAsia"/>
          <w:b/>
          <w:bCs/>
          <w:lang w:val="en-US" w:eastAsia="zh-CN"/>
        </w:rPr>
        <w:t>（2）下水道疏通长度</w:t>
      </w:r>
    </w:p>
    <w:p>
      <w:pPr>
        <w:bidi w:val="0"/>
        <w:rPr>
          <w:rFonts w:hint="eastAsia"/>
          <w:lang w:val="en-US" w:eastAsia="zh-CN"/>
        </w:rPr>
      </w:pPr>
      <w:r>
        <w:rPr>
          <w:rFonts w:hint="default"/>
          <w:lang w:val="en-US" w:eastAsia="zh-CN"/>
        </w:rPr>
        <w:t>根据《市政养护工作经费项目预算绩效目标申报表》，区市政养护管理所需要管护</w:t>
      </w:r>
      <w:r>
        <w:rPr>
          <w:rFonts w:hint="eastAsia"/>
          <w:lang w:val="en-US" w:eastAsia="zh-CN"/>
        </w:rPr>
        <w:t>排水管网136.93公里，实际疏通下水道172672米，疏浚下水道3119米。</w:t>
      </w:r>
    </w:p>
    <w:p>
      <w:pPr>
        <w:bidi w:val="0"/>
        <w:rPr>
          <w:rFonts w:hint="eastAsia"/>
          <w:b/>
          <w:bCs/>
          <w:lang w:val="en-US" w:eastAsia="zh-CN"/>
        </w:rPr>
      </w:pPr>
      <w:r>
        <w:rPr>
          <w:rFonts w:hint="eastAsia"/>
          <w:b/>
          <w:bCs/>
          <w:lang w:val="en-US" w:eastAsia="zh-CN"/>
        </w:rPr>
        <w:t>（3）投诉和维修案卷接听数量</w:t>
      </w:r>
    </w:p>
    <w:p>
      <w:pPr>
        <w:bidi w:val="0"/>
        <w:rPr>
          <w:rFonts w:hint="default"/>
          <w:lang w:val="en-US" w:eastAsia="zh-CN"/>
        </w:rPr>
      </w:pPr>
      <w:r>
        <w:rPr>
          <w:rFonts w:hint="eastAsia"/>
          <w:lang w:val="en-US" w:eastAsia="zh-CN"/>
        </w:rPr>
        <w:t>2020年路灯站共接听投诉和维修12345市长热线案卷共902起，市网手机案卷512起。&lt;暗改亮&gt;民生工程更换灯具1200余套。</w:t>
      </w:r>
    </w:p>
    <w:p>
      <w:pPr>
        <w:pStyle w:val="5"/>
        <w:bidi w:val="0"/>
        <w:rPr>
          <w:rFonts w:hint="eastAsia"/>
        </w:rPr>
      </w:pPr>
      <w:r>
        <w:rPr>
          <w:rFonts w:hint="eastAsia"/>
          <w:lang w:val="en-US" w:eastAsia="zh-CN"/>
        </w:rPr>
        <w:t>2、</w:t>
      </w:r>
      <w:r>
        <w:rPr>
          <w:rFonts w:hint="eastAsia"/>
        </w:rPr>
        <w:t>产出质量</w:t>
      </w:r>
    </w:p>
    <w:p>
      <w:pPr>
        <w:bidi w:val="0"/>
        <w:rPr>
          <w:rFonts w:hint="eastAsia"/>
          <w:b/>
          <w:bCs/>
          <w:lang w:val="en-US" w:eastAsia="zh-CN"/>
        </w:rPr>
      </w:pPr>
      <w:r>
        <w:rPr>
          <w:rFonts w:hint="eastAsia"/>
          <w:b/>
          <w:bCs/>
          <w:lang w:val="en-US" w:eastAsia="zh-CN"/>
        </w:rPr>
        <w:t>（1）道路完好率</w:t>
      </w:r>
    </w:p>
    <w:p>
      <w:pPr>
        <w:bidi w:val="0"/>
        <w:rPr>
          <w:rFonts w:hint="default"/>
          <w:lang w:val="en-US" w:eastAsia="zh-CN"/>
        </w:rPr>
      </w:pPr>
      <w:r>
        <w:rPr>
          <w:rFonts w:hint="eastAsia"/>
          <w:lang w:val="en-US" w:eastAsia="zh-CN"/>
        </w:rPr>
        <w:t>区市政所市政设施管理和养护主要依靠接听市民热线、数字城管派发任务和全员道路排查开展维修工作，存在一定局限性，评价小组随机在东湖区街头巡视时发现存在部分人行道板松动情况，道路总体较为完好，出现该情况的路段较少。</w:t>
      </w:r>
    </w:p>
    <w:p>
      <w:pPr>
        <w:bidi w:val="0"/>
        <w:rPr>
          <w:rFonts w:hint="eastAsia"/>
          <w:b/>
          <w:bCs/>
          <w:lang w:val="en-US" w:eastAsia="zh-CN"/>
        </w:rPr>
      </w:pPr>
      <w:r>
        <w:rPr>
          <w:rFonts w:hint="eastAsia"/>
          <w:b/>
          <w:bCs/>
          <w:lang w:val="en-US" w:eastAsia="zh-CN"/>
        </w:rPr>
        <w:t>（2）道路积水率</w:t>
      </w:r>
    </w:p>
    <w:p>
      <w:pPr>
        <w:bidi w:val="0"/>
        <w:rPr>
          <w:rFonts w:hint="default"/>
          <w:lang w:val="en-US" w:eastAsia="zh-CN"/>
        </w:rPr>
      </w:pPr>
      <w:r>
        <w:rPr>
          <w:rFonts w:hint="eastAsia"/>
          <w:lang w:val="en-US" w:eastAsia="zh-CN"/>
        </w:rPr>
        <w:t>评价小组于2021年7月1日（雨天），在东湖区街头巡视，查看路面积水情况，发现有部分路段仍然存在积水情况，行人通行存在一定困难，主要原因是周边有施工场所，故导致路面状况一般，总体来看排水管网管护有待增强。</w:t>
      </w:r>
    </w:p>
    <w:p>
      <w:pPr>
        <w:bidi w:val="0"/>
        <w:rPr>
          <w:rFonts w:hint="eastAsia"/>
          <w:b/>
          <w:bCs/>
          <w:lang w:val="en-US" w:eastAsia="zh-CN"/>
        </w:rPr>
      </w:pPr>
      <w:r>
        <w:rPr>
          <w:rFonts w:hint="eastAsia"/>
          <w:b/>
          <w:bCs/>
          <w:lang w:val="en-US" w:eastAsia="zh-CN"/>
        </w:rPr>
        <w:t>（3）路灯维修完好率</w:t>
      </w:r>
    </w:p>
    <w:p>
      <w:pPr>
        <w:bidi w:val="0"/>
        <w:rPr>
          <w:rFonts w:hint="default"/>
          <w:lang w:val="en-US" w:eastAsia="zh-CN"/>
        </w:rPr>
      </w:pPr>
      <w:r>
        <w:rPr>
          <w:rFonts w:hint="eastAsia"/>
          <w:lang w:val="en-US" w:eastAsia="zh-CN"/>
        </w:rPr>
        <w:t>通过认真做好热线接听处理，详细记录、及时处理、事后反馈，不断改进工作作风，把职责范围内的工作做到位，做到“件件有回音、事事有答复”，路灯维修完好率达99%。</w:t>
      </w:r>
    </w:p>
    <w:p>
      <w:pPr>
        <w:pStyle w:val="5"/>
        <w:bidi w:val="0"/>
        <w:rPr>
          <w:rFonts w:hint="eastAsia"/>
          <w:b/>
          <w:bCs/>
        </w:rPr>
      </w:pPr>
      <w:r>
        <w:rPr>
          <w:rFonts w:hint="eastAsia"/>
          <w:b/>
          <w:bCs/>
          <w:lang w:val="en-US" w:eastAsia="zh-CN"/>
        </w:rPr>
        <w:t>3、</w:t>
      </w:r>
      <w:r>
        <w:rPr>
          <w:rFonts w:hint="eastAsia"/>
          <w:b/>
          <w:bCs/>
        </w:rPr>
        <w:t>产出时效</w:t>
      </w:r>
    </w:p>
    <w:p>
      <w:pPr>
        <w:bidi w:val="0"/>
        <w:rPr>
          <w:rFonts w:hint="eastAsia"/>
          <w:b/>
          <w:bCs/>
          <w:lang w:val="en-US" w:eastAsia="zh-CN"/>
        </w:rPr>
      </w:pPr>
      <w:r>
        <w:rPr>
          <w:rFonts w:hint="eastAsia"/>
          <w:b/>
          <w:bCs/>
          <w:lang w:val="en-US" w:eastAsia="zh-CN"/>
        </w:rPr>
        <w:t>（1）投诉排查时限</w:t>
      </w:r>
    </w:p>
    <w:p>
      <w:pPr>
        <w:bidi w:val="0"/>
        <w:rPr>
          <w:rFonts w:hint="default"/>
          <w:lang w:val="en-US" w:eastAsia="zh-CN"/>
        </w:rPr>
      </w:pPr>
      <w:r>
        <w:rPr>
          <w:rFonts w:hint="eastAsia"/>
          <w:lang w:val="en-US" w:eastAsia="zh-CN"/>
        </w:rPr>
        <w:t>东湖区市政所制定的《日常维修管理办法》要求接投诉电话后对所反映的问题立即进行甄别，如果属本单位管辖范围无特殊情况2个工作日内整改到位。实际2020年区市政所</w:t>
      </w:r>
      <w:r>
        <w:rPr>
          <w:rFonts w:hint="default"/>
          <w:lang w:val="en-US" w:eastAsia="zh-CN"/>
        </w:rPr>
        <w:t>接到投诉2小时内安排人员到达现场排查具体情况，4小时内解决问题并回馈信息</w:t>
      </w:r>
      <w:r>
        <w:rPr>
          <w:rFonts w:hint="eastAsia"/>
          <w:lang w:val="en-US" w:eastAsia="zh-CN"/>
        </w:rPr>
        <w:t>，投诉排查完成及时性较好</w:t>
      </w:r>
      <w:r>
        <w:rPr>
          <w:rFonts w:hint="default"/>
          <w:lang w:val="en-US" w:eastAsia="zh-CN"/>
        </w:rPr>
        <w:t>。</w:t>
      </w:r>
    </w:p>
    <w:p>
      <w:pPr>
        <w:bidi w:val="0"/>
        <w:rPr>
          <w:rFonts w:hint="eastAsia"/>
          <w:b/>
          <w:bCs/>
          <w:lang w:val="en-US" w:eastAsia="zh-CN"/>
        </w:rPr>
      </w:pPr>
      <w:r>
        <w:rPr>
          <w:rFonts w:hint="eastAsia"/>
          <w:b/>
          <w:bCs/>
          <w:lang w:val="en-US" w:eastAsia="zh-CN"/>
        </w:rPr>
        <w:t>（2）全面清掏频次</w:t>
      </w:r>
    </w:p>
    <w:p>
      <w:pPr>
        <w:bidi w:val="0"/>
        <w:rPr>
          <w:rFonts w:hint="default"/>
          <w:lang w:val="en-US" w:eastAsia="zh-CN"/>
        </w:rPr>
      </w:pPr>
      <w:r>
        <w:rPr>
          <w:rFonts w:hint="eastAsia"/>
          <w:lang w:val="en-US" w:eastAsia="zh-CN"/>
        </w:rPr>
        <w:t>东湖区市政所制定的清掏制度要求制定年度清掏计划，基本达到每年清掏两遍的要求，根据区市政所提供的清掏记录，已完成该要求。</w:t>
      </w:r>
    </w:p>
    <w:p>
      <w:pPr>
        <w:pStyle w:val="5"/>
        <w:bidi w:val="0"/>
        <w:rPr>
          <w:rFonts w:hint="eastAsia"/>
        </w:rPr>
      </w:pPr>
      <w:r>
        <w:rPr>
          <w:rFonts w:hint="eastAsia"/>
          <w:lang w:val="en-US" w:eastAsia="zh-CN"/>
        </w:rPr>
        <w:t>4、</w:t>
      </w:r>
      <w:r>
        <w:rPr>
          <w:rFonts w:hint="eastAsia"/>
        </w:rPr>
        <w:t>产出成本</w:t>
      </w:r>
    </w:p>
    <w:p>
      <w:pPr>
        <w:bidi w:val="0"/>
        <w:rPr>
          <w:rFonts w:hint="eastAsia"/>
          <w:b/>
          <w:bCs/>
          <w:lang w:val="en-US" w:eastAsia="zh-CN"/>
        </w:rPr>
      </w:pPr>
      <w:bookmarkStart w:id="52" w:name="_Toc3869"/>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维修成本控制率</w:t>
      </w:r>
    </w:p>
    <w:p>
      <w:pPr>
        <w:bidi w:val="0"/>
        <w:rPr>
          <w:rFonts w:hint="default"/>
          <w:lang w:val="en-US" w:eastAsia="zh-CN"/>
        </w:rPr>
      </w:pPr>
      <w:r>
        <w:rPr>
          <w:rFonts w:hint="eastAsia"/>
          <w:lang w:val="en-US" w:eastAsia="zh-CN"/>
        </w:rPr>
        <w:t>区市政所市政设施养护工作主要委托南昌市东湖区劳务派遣中心派遣劳务人员，由其组织施工人员进行维修，与派遣服务中心签订的劳务代理补偿协议书中附有《东湖区养护维修结算单价表》，约定了各项工作内容的单价，经查原始凭证，未发现超出结算标准的情况，维修成本控制情况良好。</w:t>
      </w:r>
    </w:p>
    <w:p>
      <w:pPr>
        <w:rPr>
          <w:rFonts w:hint="eastAsia"/>
        </w:rPr>
      </w:pPr>
    </w:p>
    <w:p>
      <w:pPr>
        <w:pStyle w:val="4"/>
        <w:spacing w:before="204" w:after="204"/>
        <w:rPr>
          <w:rFonts w:hint="eastAsia"/>
        </w:rPr>
      </w:pPr>
      <w:bookmarkStart w:id="53" w:name="_Toc23542"/>
      <w:r>
        <w:rPr>
          <w:rFonts w:hint="eastAsia"/>
        </w:rPr>
        <w:t>（四）项目效益情况</w:t>
      </w:r>
      <w:bookmarkEnd w:id="52"/>
      <w:bookmarkEnd w:id="53"/>
    </w:p>
    <w:p>
      <w:pPr>
        <w:pStyle w:val="5"/>
        <w:bidi w:val="0"/>
        <w:rPr>
          <w:rFonts w:hint="eastAsia"/>
          <w:lang w:val="en-US" w:eastAsia="zh-CN"/>
        </w:rPr>
      </w:pPr>
      <w:r>
        <w:rPr>
          <w:rFonts w:hint="eastAsia"/>
          <w:lang w:val="en-US" w:eastAsia="zh-CN"/>
        </w:rPr>
        <w:t>1、社会效益</w:t>
      </w:r>
    </w:p>
    <w:p>
      <w:pPr>
        <w:bidi w:val="0"/>
        <w:rPr>
          <w:rFonts w:hint="eastAsia"/>
          <w:b/>
          <w:bCs/>
          <w:lang w:val="en-US" w:eastAsia="zh-CN"/>
        </w:rPr>
      </w:pPr>
      <w:r>
        <w:rPr>
          <w:rFonts w:hint="eastAsia"/>
          <w:b/>
          <w:bCs/>
          <w:lang w:val="en-US" w:eastAsia="zh-CN"/>
        </w:rPr>
        <w:t>（1）市民投诉下降率</w:t>
      </w:r>
    </w:p>
    <w:p>
      <w:pPr>
        <w:bidi w:val="0"/>
        <w:rPr>
          <w:rFonts w:hint="default"/>
          <w:lang w:val="en-US" w:eastAsia="zh-CN"/>
        </w:rPr>
      </w:pPr>
      <w:r>
        <w:rPr>
          <w:rFonts w:hint="eastAsia"/>
          <w:lang w:val="en-US" w:eastAsia="zh-CN"/>
        </w:rPr>
        <w:t>区市政所2020年度市政设施养护工作开展情况总体较好，2020年路灯站共接听投诉和维修12345市长热线案卷共902起，市网手机案卷512起，2019年接听路灯投诉共计2265起，市民投诉下降率为37.57%。</w:t>
      </w:r>
    </w:p>
    <w:p>
      <w:pPr>
        <w:bidi w:val="0"/>
        <w:rPr>
          <w:rFonts w:hint="eastAsia"/>
          <w:b/>
          <w:bCs/>
          <w:lang w:val="en-US" w:eastAsia="zh-CN"/>
        </w:rPr>
      </w:pPr>
      <w:r>
        <w:rPr>
          <w:rFonts w:hint="eastAsia"/>
          <w:b/>
          <w:bCs/>
          <w:lang w:val="en-US" w:eastAsia="zh-CN"/>
        </w:rPr>
        <w:t>（2）汛期安全事故发生率</w:t>
      </w:r>
    </w:p>
    <w:p>
      <w:pPr>
        <w:bidi w:val="0"/>
        <w:rPr>
          <w:rFonts w:hint="default"/>
          <w:lang w:val="en-US" w:eastAsia="zh-CN"/>
        </w:rPr>
      </w:pPr>
      <w:r>
        <w:rPr>
          <w:rFonts w:hint="eastAsia"/>
          <w:lang w:val="en-US" w:eastAsia="zh-CN"/>
        </w:rPr>
        <w:t>区市政所</w:t>
      </w:r>
      <w:r>
        <w:rPr>
          <w:rFonts w:hint="default"/>
          <w:lang w:val="en-US" w:eastAsia="zh-CN"/>
        </w:rPr>
        <w:t>根据政府要求，制定了防汛排涝工作预案，调整充实了防汛领导小组，明确了人员职责，防汛路段。成立了二十多人的防汛抢险突击队伍，安排好防洪值班，备足了防汛物资。</w:t>
      </w:r>
      <w:r>
        <w:rPr>
          <w:rFonts w:hint="eastAsia"/>
          <w:lang w:val="en-US" w:eastAsia="zh-CN"/>
        </w:rPr>
        <w:t>自</w:t>
      </w:r>
      <w:r>
        <w:rPr>
          <w:rFonts w:hint="default"/>
          <w:lang w:val="en-US" w:eastAsia="zh-CN"/>
        </w:rPr>
        <w:t>2020年4</w:t>
      </w:r>
      <w:r>
        <w:rPr>
          <w:rFonts w:hint="eastAsia"/>
          <w:lang w:val="en-US" w:eastAsia="zh-CN"/>
        </w:rPr>
        <w:t>月</w:t>
      </w:r>
      <w:r>
        <w:rPr>
          <w:rFonts w:hint="default"/>
          <w:lang w:val="en-US" w:eastAsia="zh-CN"/>
        </w:rPr>
        <w:t>启动城市排水防汛备战，并同步进行春季清掏、管线清淤、及积水点整治等工作。东湖市政清掏班二十余名干部职工，沿市政排水管线由东向西，街道由南向北进展，对主城区比如大顺巷，渊明北路，建德观路，上水路，汤家园路，皇殿侧路，经堂路，右营街路，马家池路，苏圃路，贤士一、二路，永外正街，文教路等数十条主次干线路段的雨水管道、过路管线进行疏浚清掏，对全区700余座窨井进行清理。在清掏过程中，工作人员将管道中大量油混合着泥土的</w:t>
      </w:r>
      <w:r>
        <w:rPr>
          <w:rFonts w:hint="eastAsia"/>
          <w:lang w:val="en-US" w:eastAsia="zh-CN"/>
        </w:rPr>
        <w:t>“油泥”</w:t>
      </w:r>
      <w:r>
        <w:rPr>
          <w:rFonts w:hint="default"/>
          <w:lang w:val="en-US" w:eastAsia="zh-CN"/>
        </w:rPr>
        <w:t>彻底疏通清掏，避免其在管道壁形成栓塞，导致雨水排涝不畅。同时清理出剩菜剩饭、生活垃圾、泥浆水凝固物等百余吨</w:t>
      </w:r>
      <w:r>
        <w:rPr>
          <w:rFonts w:hint="eastAsia"/>
          <w:lang w:val="en-US" w:eastAsia="zh-CN"/>
        </w:rPr>
        <w:t>，并且</w:t>
      </w:r>
      <w:r>
        <w:rPr>
          <w:rFonts w:hint="default"/>
          <w:lang w:val="en-US" w:eastAsia="zh-CN"/>
        </w:rPr>
        <w:t>在雨量较大时派人上路，不间断巡查，做好积水消除工作</w:t>
      </w:r>
      <w:r>
        <w:rPr>
          <w:rFonts w:hint="eastAsia"/>
          <w:lang w:val="en-US" w:eastAsia="zh-CN"/>
        </w:rPr>
        <w:t>，</w:t>
      </w:r>
      <w:r>
        <w:rPr>
          <w:rFonts w:hint="default"/>
          <w:lang w:val="en-US" w:eastAsia="zh-CN"/>
        </w:rPr>
        <w:t>坚持领导带班，抢险突击队成员24小时不间断值班。</w:t>
      </w:r>
      <w:r>
        <w:rPr>
          <w:rFonts w:hint="eastAsia"/>
          <w:lang w:val="en-US" w:eastAsia="zh-CN"/>
        </w:rPr>
        <w:t>上述措施保证了排水及时性，保障了汛期未发生安全事故。</w:t>
      </w:r>
    </w:p>
    <w:p>
      <w:pPr>
        <w:pStyle w:val="5"/>
        <w:bidi w:val="0"/>
        <w:rPr>
          <w:rFonts w:hint="eastAsia"/>
          <w:lang w:val="en-US" w:eastAsia="zh-CN"/>
        </w:rPr>
      </w:pPr>
      <w:r>
        <w:rPr>
          <w:rFonts w:hint="eastAsia"/>
          <w:lang w:val="en-US" w:eastAsia="zh-CN"/>
        </w:rPr>
        <w:t>2、可持续影响</w:t>
      </w:r>
    </w:p>
    <w:p>
      <w:pPr>
        <w:bidi w:val="0"/>
        <w:rPr>
          <w:rFonts w:hint="eastAsia"/>
          <w:b/>
          <w:bCs/>
          <w:lang w:val="en-US" w:eastAsia="zh-CN"/>
        </w:rPr>
      </w:pPr>
      <w:r>
        <w:rPr>
          <w:rFonts w:hint="eastAsia"/>
          <w:b/>
          <w:bCs/>
          <w:lang w:val="en-US" w:eastAsia="zh-CN"/>
        </w:rPr>
        <w:t>（1）道路通行率</w:t>
      </w:r>
    </w:p>
    <w:p>
      <w:pPr>
        <w:bidi w:val="0"/>
        <w:rPr>
          <w:rFonts w:hint="default"/>
          <w:lang w:val="en-US" w:eastAsia="zh-CN"/>
        </w:rPr>
      </w:pPr>
      <w:r>
        <w:rPr>
          <w:rFonts w:hint="eastAsia"/>
          <w:lang w:val="en-US" w:eastAsia="zh-CN"/>
        </w:rPr>
        <w:t>为增强道路互联互通性，区市政所积极推进断头路改造提升工作。2020年通过新建排水管道，新建道路结构、摊铺沥青、标识标线、清理路面垃圾杂草、修补破损的花岗岩板，维修雨水井等，使道路交通环环相扣、网网相联、缓解交通压力，道路通行率较上年度有所提升，极大便利了群众出行。</w:t>
      </w:r>
    </w:p>
    <w:p>
      <w:pPr>
        <w:bidi w:val="0"/>
        <w:rPr>
          <w:rFonts w:hint="eastAsia"/>
          <w:b/>
          <w:bCs/>
          <w:lang w:val="en-US" w:eastAsia="zh-CN"/>
        </w:rPr>
      </w:pPr>
      <w:r>
        <w:rPr>
          <w:rFonts w:hint="eastAsia"/>
          <w:b/>
          <w:bCs/>
          <w:lang w:val="en-US" w:eastAsia="zh-CN"/>
        </w:rPr>
        <w:t>（2）投诉热线知晓率</w:t>
      </w:r>
    </w:p>
    <w:p>
      <w:pPr>
        <w:bidi w:val="0"/>
        <w:rPr>
          <w:rFonts w:hint="default"/>
          <w:lang w:val="en-US" w:eastAsia="zh-CN"/>
        </w:rPr>
      </w:pPr>
      <w:r>
        <w:rPr>
          <w:rFonts w:hint="default"/>
          <w:lang w:val="en-US" w:eastAsia="zh-CN"/>
        </w:rPr>
        <w:t>由于东湖区市政设施管护工作开展方式包括通过每日巡查、</w:t>
      </w:r>
      <w:r>
        <w:rPr>
          <w:rFonts w:hint="eastAsia"/>
          <w:lang w:val="en-US" w:eastAsia="zh-CN"/>
        </w:rPr>
        <w:t>数字</w:t>
      </w:r>
      <w:r>
        <w:rPr>
          <w:rFonts w:hint="default"/>
          <w:lang w:val="en-US" w:eastAsia="zh-CN"/>
        </w:rPr>
        <w:t>城管网下发整改任务</w:t>
      </w:r>
      <w:r>
        <w:rPr>
          <w:rFonts w:hint="eastAsia"/>
          <w:lang w:val="en-US" w:eastAsia="zh-CN"/>
        </w:rPr>
        <w:t>，</w:t>
      </w:r>
      <w:r>
        <w:rPr>
          <w:rFonts w:hint="default"/>
          <w:lang w:val="en-US" w:eastAsia="zh-CN"/>
        </w:rPr>
        <w:t>以及区市政养护热线投诉电话等三个途径发现问题后进行处理，故</w:t>
      </w:r>
      <w:r>
        <w:rPr>
          <w:rFonts w:hint="eastAsia"/>
          <w:lang w:val="en-US" w:eastAsia="zh-CN"/>
        </w:rPr>
        <w:t>评价小组在开展问卷调查时最后一个选项设置为</w:t>
      </w:r>
      <w:r>
        <w:rPr>
          <w:rFonts w:hint="default"/>
          <w:lang w:val="en-US" w:eastAsia="zh-CN"/>
        </w:rPr>
        <w:t>是否知道东湖区市政养护热线投诉电话，受访的三十名群众仅有四</w:t>
      </w:r>
      <w:r>
        <w:rPr>
          <w:rFonts w:hint="eastAsia"/>
          <w:lang w:val="en-US" w:eastAsia="zh-CN"/>
        </w:rPr>
        <w:t>人</w:t>
      </w:r>
      <w:r>
        <w:rPr>
          <w:rFonts w:hint="default"/>
          <w:lang w:val="en-US" w:eastAsia="zh-CN"/>
        </w:rPr>
        <w:t>表示知道热线电话，热线电话知晓率13.3%</w:t>
      </w:r>
      <w:r>
        <w:rPr>
          <w:rFonts w:hint="eastAsia"/>
          <w:lang w:val="en-US" w:eastAsia="zh-CN"/>
        </w:rPr>
        <w:t>，区市政所与群众联系的密切度有待增加，不利于群众及时便捷反映市政问题</w:t>
      </w:r>
      <w:r>
        <w:rPr>
          <w:rFonts w:hint="default"/>
          <w:lang w:val="en-US" w:eastAsia="zh-CN"/>
        </w:rPr>
        <w:t>。</w:t>
      </w:r>
    </w:p>
    <w:p>
      <w:pPr>
        <w:pStyle w:val="5"/>
        <w:bidi w:val="0"/>
        <w:rPr>
          <w:rFonts w:hint="eastAsia"/>
          <w:lang w:val="en-US" w:eastAsia="zh-CN"/>
        </w:rPr>
      </w:pPr>
      <w:r>
        <w:rPr>
          <w:rFonts w:hint="eastAsia"/>
          <w:lang w:val="en-US" w:eastAsia="zh-CN"/>
        </w:rPr>
        <w:t>3、满意度</w:t>
      </w:r>
    </w:p>
    <w:p>
      <w:pPr>
        <w:rPr>
          <w:rFonts w:hint="default"/>
          <w:b/>
          <w:bCs/>
          <w:lang w:val="en-US" w:eastAsia="zh-CN"/>
        </w:rPr>
      </w:pPr>
      <w:r>
        <w:rPr>
          <w:rFonts w:hint="eastAsia"/>
          <w:b/>
          <w:bCs/>
          <w:lang w:val="en-US" w:eastAsia="zh-CN"/>
        </w:rPr>
        <w:t>（1）市民满意度</w:t>
      </w:r>
    </w:p>
    <w:p>
      <w:pPr>
        <w:bidi w:val="0"/>
        <w:rPr>
          <w:rFonts w:hint="eastAsia"/>
          <w:lang w:val="en-US" w:eastAsia="zh-CN"/>
        </w:rPr>
      </w:pPr>
      <w:bookmarkStart w:id="54" w:name="_Toc12489"/>
      <w:r>
        <w:rPr>
          <w:rFonts w:hint="eastAsia"/>
          <w:lang w:val="en-US" w:eastAsia="zh-CN"/>
        </w:rPr>
        <w:t>评价小组设置了涉及人行道管护、破损人行道处理及时性、道路井盖设置安全性、下水道管护情况、下水道清掏及时性、积水处理情况和路灯管理情况等七项内容进行满意度调查，在东湖区长申购物广场、水产市场、富赣灏庭小区、江畔人家小区和海棠明月小区附近对东湖区常住居民附近采取不记名填写问卷方式征询对市政设施管护情况的满意度。评价小组在发放问卷前首先确认调查对象是否为东湖区常住居民，以保证问卷结果的有效度，但群众参与调查的积极性偏低，故仅发出并收回问卷三十份。</w:t>
      </w:r>
    </w:p>
    <w:p>
      <w:pPr>
        <w:bidi w:val="0"/>
        <w:rPr>
          <w:rFonts w:hint="eastAsia"/>
          <w:lang w:val="en-US" w:eastAsia="zh-CN"/>
        </w:rPr>
      </w:pPr>
      <w:r>
        <w:rPr>
          <w:rFonts w:hint="eastAsia"/>
          <w:lang w:val="en-US" w:eastAsia="zh-CN"/>
        </w:rPr>
        <w:t>最后一题设为开放性问题，征询群众对目前基础设施养护维修有哪些方面感到不太满意，或者有何改进建议，该项为非必填项，多数居民未进行填写或填写无意见等，仅在长申购物广场进行调查时，一位女士发表意见（由于道路路面增高，导致其小区容易涨水，地址为朱湖路59号）。</w:t>
      </w:r>
    </w:p>
    <w:p>
      <w:pPr>
        <w:bidi w:val="0"/>
        <w:rPr>
          <w:rFonts w:hint="eastAsia"/>
          <w:lang w:val="en-US" w:eastAsia="zh-CN"/>
        </w:rPr>
      </w:pPr>
      <w:r>
        <w:rPr>
          <w:rFonts w:hint="eastAsia"/>
          <w:lang w:val="en-US" w:eastAsia="zh-CN"/>
        </w:rPr>
        <w:t>客观题问卷调查结果统计情况如下表所示：</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表3 满意度调查结果统计表</w:t>
      </w:r>
    </w:p>
    <w:tbl>
      <w:tblPr>
        <w:tblStyle w:val="15"/>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5"/>
        <w:gridCol w:w="1920"/>
        <w:gridCol w:w="1395"/>
        <w:gridCol w:w="162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65"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楷体" w:hAnsi="楷体" w:eastAsia="楷体" w:cs="楷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mc:AlternateContent>
                <mc:Choice Requires="wpsCustomData">
                  <wpsCustomData:diagonalParaType/>
                </mc:Choice>
              </mc:AlternateContent>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题号</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满意度</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A：非常满意</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B：满意</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C：基本满意</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D：不满意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一:人行道管护</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12</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二：人行道处理及时性</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11</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三：道路井盖设置</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10</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9</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四：下水道管护</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6</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16</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五：下水道清掏及时性</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15</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六：积水处理</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7</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8</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七：路灯管理</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14</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8</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8</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合计</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95</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81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满意度占比</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21.25%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39.58%</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33.75%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5.42%</w:t>
            </w:r>
          </w:p>
        </w:tc>
      </w:tr>
    </w:tbl>
    <w:p>
      <w:pPr>
        <w:keepNext w:val="0"/>
        <w:keepLines w:val="0"/>
        <w:pageBreakBefore w:val="0"/>
        <w:widowControl w:val="0"/>
        <w:kinsoku/>
        <w:wordWrap/>
        <w:overflowPunct/>
        <w:topLinePunct w:val="0"/>
        <w:autoSpaceDE/>
        <w:autoSpaceDN w:val="0"/>
        <w:bidi w:val="0"/>
        <w:adjustRightInd/>
        <w:snapToGrid/>
        <w:textAlignment w:val="auto"/>
        <w:rPr>
          <w:rFonts w:hint="default" w:eastAsia="宋体"/>
          <w:lang w:val="en-US" w:eastAsia="zh-CN"/>
        </w:rPr>
      </w:pPr>
      <w:r>
        <w:rPr>
          <w:rFonts w:hint="eastAsia"/>
          <w:lang w:val="en-US" w:eastAsia="zh-CN"/>
        </w:rPr>
        <w:t>总体来看东湖区市政设施养护满意度情况良好，对选项按照相同比重进行加权后得出感到非常满意的占21.25%，感到满意的占39.58%，基本满意的占33.75%，感到不满意的为5.42%，故群众综合满意度为94.58%。</w:t>
      </w:r>
    </w:p>
    <w:p>
      <w:pPr>
        <w:pStyle w:val="3"/>
      </w:pPr>
      <w:bookmarkStart w:id="55" w:name="_Toc20664"/>
      <w:r>
        <w:rPr>
          <w:rFonts w:hint="eastAsia"/>
        </w:rPr>
        <w:t>五、主要经验及做法、存在的问题及原因分析</w:t>
      </w:r>
      <w:bookmarkEnd w:id="54"/>
      <w:bookmarkEnd w:id="55"/>
    </w:p>
    <w:p>
      <w:pPr>
        <w:pStyle w:val="4"/>
        <w:spacing w:before="204" w:after="204"/>
        <w:rPr>
          <w:rFonts w:hint="eastAsia"/>
        </w:rPr>
      </w:pPr>
      <w:bookmarkStart w:id="56" w:name="_Toc7362"/>
      <w:bookmarkStart w:id="57" w:name="_Toc21601"/>
      <w:r>
        <w:rPr>
          <w:rFonts w:hint="eastAsia"/>
        </w:rPr>
        <w:t>（一）主要经验及做法</w:t>
      </w:r>
      <w:bookmarkEnd w:id="56"/>
      <w:bookmarkEnd w:id="57"/>
    </w:p>
    <w:p>
      <w:pPr>
        <w:pStyle w:val="5"/>
        <w:bidi w:val="0"/>
        <w:rPr>
          <w:rFonts w:hint="eastAsia"/>
          <w:lang w:val="en-US" w:eastAsia="zh-CN"/>
        </w:rPr>
      </w:pPr>
      <w:bookmarkStart w:id="58" w:name="_Toc990"/>
      <w:r>
        <w:rPr>
          <w:rFonts w:hint="eastAsia"/>
          <w:lang w:val="en-US" w:eastAsia="zh-CN"/>
        </w:rPr>
        <w:t>1、实行全员道路排查制度并形成常态机制</w:t>
      </w:r>
    </w:p>
    <w:p>
      <w:pPr>
        <w:bidi w:val="0"/>
        <w:rPr>
          <w:rFonts w:hint="eastAsia"/>
          <w:lang w:val="en-US" w:eastAsia="zh-CN"/>
        </w:rPr>
      </w:pPr>
      <w:r>
        <w:rPr>
          <w:rFonts w:hint="eastAsia"/>
          <w:lang w:val="en-US" w:eastAsia="zh-CN"/>
        </w:rPr>
        <w:t>区市政所把辖区按街办分成5个片区，由领导班子成员带队，挂片负责，行政人员除留守人员外全部上路于各自责任路段排查道路隐患，发现问题及时上报，梳理汇总并逐步安排维修，有利于辖区道路隐患及时消除。</w:t>
      </w:r>
    </w:p>
    <w:p>
      <w:pPr>
        <w:pStyle w:val="5"/>
        <w:bidi w:val="0"/>
        <w:rPr>
          <w:rFonts w:hint="eastAsia"/>
          <w:lang w:val="en-US" w:eastAsia="zh-CN"/>
        </w:rPr>
      </w:pPr>
      <w:r>
        <w:rPr>
          <w:rFonts w:hint="eastAsia"/>
          <w:lang w:val="en-US" w:eastAsia="zh-CN"/>
        </w:rPr>
        <w:t>2、件件有回音、事事有答复</w:t>
      </w:r>
    </w:p>
    <w:p>
      <w:pPr>
        <w:bidi w:val="0"/>
        <w:rPr>
          <w:rFonts w:hint="default"/>
          <w:lang w:val="en-US" w:eastAsia="zh-CN"/>
        </w:rPr>
      </w:pPr>
      <w:r>
        <w:rPr>
          <w:rFonts w:hint="eastAsia"/>
          <w:lang w:val="en-US" w:eastAsia="zh-CN"/>
        </w:rPr>
        <w:t>区市政所</w:t>
      </w:r>
      <w:r>
        <w:rPr>
          <w:rFonts w:hint="default"/>
          <w:lang w:val="en-US" w:eastAsia="zh-CN"/>
        </w:rPr>
        <w:t>认真做好热线接听处理，详细记录、及时处理、事后反馈，不断改进工作作风，把职责范围内的工作做到位，做到</w:t>
      </w:r>
      <w:r>
        <w:rPr>
          <w:rFonts w:hint="eastAsia"/>
          <w:lang w:val="en-US" w:eastAsia="zh-CN"/>
        </w:rPr>
        <w:t>“</w:t>
      </w:r>
      <w:r>
        <w:rPr>
          <w:rFonts w:hint="default"/>
          <w:lang w:val="en-US" w:eastAsia="zh-CN"/>
        </w:rPr>
        <w:t>件件有回音、事事有答复</w:t>
      </w:r>
      <w:r>
        <w:rPr>
          <w:rFonts w:hint="eastAsia"/>
          <w:lang w:val="en-US" w:eastAsia="zh-CN"/>
        </w:rPr>
        <w:t>”</w:t>
      </w:r>
      <w:r>
        <w:rPr>
          <w:rFonts w:hint="default"/>
          <w:lang w:val="en-US" w:eastAsia="zh-CN"/>
        </w:rPr>
        <w:t>。</w:t>
      </w:r>
      <w:r>
        <w:rPr>
          <w:rFonts w:hint="eastAsia"/>
          <w:lang w:val="en-US" w:eastAsia="zh-CN"/>
        </w:rPr>
        <w:t>2020年</w:t>
      </w:r>
      <w:r>
        <w:rPr>
          <w:rFonts w:hint="default"/>
          <w:lang w:val="en-US" w:eastAsia="zh-CN"/>
        </w:rPr>
        <w:t>，路灯站共接听投诉和维修12345市长热线案卷共902起，市网手机案卷512起</w:t>
      </w:r>
      <w:r>
        <w:rPr>
          <w:rFonts w:hint="eastAsia"/>
          <w:lang w:val="en-US" w:eastAsia="zh-CN"/>
        </w:rPr>
        <w:t>。</w:t>
      </w:r>
    </w:p>
    <w:p>
      <w:pPr>
        <w:pStyle w:val="4"/>
        <w:spacing w:before="204" w:after="204"/>
        <w:rPr>
          <w:rFonts w:hint="eastAsia"/>
        </w:rPr>
      </w:pPr>
      <w:bookmarkStart w:id="59" w:name="_Toc30852"/>
      <w:r>
        <w:rPr>
          <w:rFonts w:hint="eastAsia"/>
        </w:rPr>
        <w:t>（二）存在的问题及原因分析</w:t>
      </w:r>
      <w:bookmarkEnd w:id="58"/>
      <w:bookmarkEnd w:id="59"/>
    </w:p>
    <w:p>
      <w:pPr>
        <w:pStyle w:val="5"/>
        <w:bidi w:val="0"/>
        <w:rPr>
          <w:rFonts w:hint="default"/>
          <w:lang w:val="en-US" w:eastAsia="zh-CN"/>
        </w:rPr>
      </w:pPr>
      <w:r>
        <w:rPr>
          <w:rFonts w:hint="eastAsia"/>
          <w:lang w:val="en-US" w:eastAsia="zh-CN"/>
        </w:rPr>
        <w:t>1、业务管理制度编制待完善</w:t>
      </w:r>
    </w:p>
    <w:p>
      <w:pPr>
        <w:bidi w:val="0"/>
        <w:rPr>
          <w:rFonts w:hint="default"/>
          <w:lang w:val="en-US" w:eastAsia="zh-CN"/>
        </w:rPr>
      </w:pPr>
      <w:r>
        <w:rPr>
          <w:rFonts w:hint="eastAsia"/>
          <w:b/>
          <w:bCs/>
          <w:lang w:val="en-US" w:eastAsia="zh-CN"/>
        </w:rPr>
        <w:t>①未形成一套完整系统的业务管理制度</w:t>
      </w:r>
    </w:p>
    <w:p>
      <w:pPr>
        <w:ind w:firstLine="560"/>
        <w:rPr>
          <w:rFonts w:hint="default"/>
          <w:lang w:val="en-US" w:eastAsia="zh-CN"/>
        </w:rPr>
      </w:pPr>
      <w:r>
        <w:rPr>
          <w:rFonts w:hint="eastAsia"/>
          <w:lang w:val="en-US" w:eastAsia="zh-CN"/>
        </w:rPr>
        <w:t>业务管理方面，区市政所制定有《东湖区市政所防汛排涝工作预案》、《养护队日常维修管理办法》、《清掏制度》、《暴雨应急处理办法》、《道路积水处理办法》、《养护队工作制度》、《养护队人员工作规范》和《养护维修管理方案》，业务管理制度较为分散，缺乏系统性，未能形成一套完整的工作制度，对项目工作开展的管理作用有待加强。</w:t>
      </w:r>
    </w:p>
    <w:p>
      <w:pPr>
        <w:bidi w:val="0"/>
        <w:rPr>
          <w:rFonts w:hint="default"/>
          <w:b/>
          <w:bCs/>
          <w:lang w:val="en-US" w:eastAsia="zh-CN"/>
        </w:rPr>
      </w:pPr>
      <w:r>
        <w:rPr>
          <w:rFonts w:hint="eastAsia"/>
          <w:b/>
          <w:bCs/>
          <w:lang w:val="en-US" w:eastAsia="zh-CN"/>
        </w:rPr>
        <w:t>②部分业务管理制度未得到有效落实</w:t>
      </w:r>
    </w:p>
    <w:p>
      <w:pPr>
        <w:bidi w:val="0"/>
        <w:rPr>
          <w:rFonts w:hint="eastAsia"/>
        </w:rPr>
      </w:pPr>
      <w:bookmarkStart w:id="60" w:name="_Toc21987"/>
      <w:r>
        <w:rPr>
          <w:rFonts w:hint="eastAsia"/>
          <w:lang w:val="en-US" w:eastAsia="zh-CN"/>
        </w:rPr>
        <w:t>区市政所</w:t>
      </w:r>
      <w:r>
        <w:rPr>
          <w:rFonts w:hint="eastAsia"/>
        </w:rPr>
        <w:t>业务</w:t>
      </w:r>
      <w:r>
        <w:rPr>
          <w:rFonts w:hint="eastAsia"/>
          <w:lang w:val="en-US" w:eastAsia="zh-CN"/>
        </w:rPr>
        <w:t>管理</w:t>
      </w:r>
      <w:r>
        <w:rPr>
          <w:rFonts w:hint="eastAsia"/>
        </w:rPr>
        <w:t>制度执行情况有待增强，如：</w:t>
      </w:r>
      <w:r>
        <w:rPr>
          <w:rFonts w:hint="eastAsia"/>
          <w:lang w:eastAsia="zh-CN"/>
        </w:rPr>
        <w:t>《</w:t>
      </w:r>
      <w:r>
        <w:rPr>
          <w:rFonts w:hint="eastAsia"/>
        </w:rPr>
        <w:t>清掏制度</w:t>
      </w:r>
      <w:r>
        <w:rPr>
          <w:rFonts w:hint="eastAsia"/>
          <w:lang w:eastAsia="zh-CN"/>
        </w:rPr>
        <w:t>》</w:t>
      </w:r>
      <w:r>
        <w:rPr>
          <w:rFonts w:hint="eastAsia"/>
        </w:rPr>
        <w:t>中规定需对养护队清掏情况进行考评计分，实际未进行考核，原因主要是以前年度工作完成情况较好，故未继续执行考核；养护维修管理方案规定施工队伍之间要进行评比，按照排名每季度结算工程款的90%、80%、70%，实际未进行评比。</w:t>
      </w:r>
    </w:p>
    <w:p>
      <w:pPr>
        <w:bidi w:val="0"/>
        <w:rPr>
          <w:rFonts w:hint="eastAsia"/>
          <w:b/>
          <w:bCs/>
          <w:lang w:val="en-US" w:eastAsia="zh-CN"/>
        </w:rPr>
      </w:pPr>
      <w:r>
        <w:rPr>
          <w:rFonts w:hint="eastAsia"/>
          <w:b/>
          <w:bCs/>
          <w:lang w:val="en-US" w:eastAsia="zh-CN"/>
        </w:rPr>
        <w:t>③管理制度细化程度有待提升</w:t>
      </w:r>
    </w:p>
    <w:p>
      <w:pPr>
        <w:bidi w:val="0"/>
        <w:rPr>
          <w:rFonts w:hint="eastAsia"/>
          <w:lang w:val="en-US" w:eastAsia="zh-CN"/>
        </w:rPr>
      </w:pPr>
      <w:r>
        <w:rPr>
          <w:rFonts w:hint="eastAsia"/>
          <w:lang w:val="en-US" w:eastAsia="zh-CN"/>
        </w:rPr>
        <w:t>东湖区市政所《养护维修管理方案》中疏通规范规定“班长负责疏通班的工作安排、文明安全操作”以及“疏通班成员未遵守安全操作流程，后果自负”，但方案中未明确文明安全操作流程，问及养护队相关人员，是否有明文规定安全操作流程时，对方表示没有，但向评价小组口述了操作流程，并表示每次施工前由班长口述。</w:t>
      </w:r>
    </w:p>
    <w:p>
      <w:pPr>
        <w:bidi w:val="0"/>
        <w:rPr>
          <w:rFonts w:hint="default"/>
          <w:lang w:val="en-US" w:eastAsia="zh-CN"/>
        </w:rPr>
      </w:pPr>
      <w:r>
        <w:rPr>
          <w:rFonts w:hint="eastAsia"/>
          <w:lang w:val="en-US" w:eastAsia="zh-CN"/>
        </w:rPr>
        <w:t>市政养护工作经费项目支出明细账中涉及两笔赔偿款，经查原始凭证，该两笔赔款均为2020年9月25日在赣桥南路路段从事管道疏通时，因第三人将油渍冲洗至路面，导致市民摔伤，故区市政所应当以文字形式明确各项施工要求，同时做好安全生产培训工作。</w:t>
      </w:r>
    </w:p>
    <w:p>
      <w:pPr>
        <w:pStyle w:val="5"/>
        <w:bidi w:val="0"/>
        <w:rPr>
          <w:rFonts w:hint="default"/>
          <w:lang w:val="en-US" w:eastAsia="zh-CN"/>
        </w:rPr>
      </w:pPr>
      <w:r>
        <w:rPr>
          <w:rFonts w:hint="eastAsia"/>
          <w:lang w:val="en-US" w:eastAsia="zh-CN"/>
        </w:rPr>
        <w:t>2、合同签订规范性待提升</w:t>
      </w:r>
    </w:p>
    <w:p>
      <w:pPr>
        <w:bidi w:val="0"/>
        <w:rPr>
          <w:rFonts w:hint="eastAsia"/>
          <w:lang w:val="en-US" w:eastAsia="zh-CN"/>
        </w:rPr>
      </w:pPr>
      <w:r>
        <w:rPr>
          <w:rFonts w:hint="eastAsia"/>
          <w:lang w:val="en-US" w:eastAsia="zh-CN"/>
        </w:rPr>
        <w:t>根据8月的第7号记账凭证，转劳务派遣中心付二季度养护经费310849元，经查原始凭证劳务代理协议书未加盖南昌市东湖区劳务派遣服务中心公章，合同签订规范性有待提升。</w:t>
      </w:r>
    </w:p>
    <w:p>
      <w:pPr>
        <w:pStyle w:val="5"/>
        <w:bidi w:val="0"/>
        <w:rPr>
          <w:rFonts w:hint="eastAsia"/>
          <w:lang w:val="en-US" w:eastAsia="zh-CN"/>
        </w:rPr>
      </w:pPr>
      <w:r>
        <w:rPr>
          <w:rFonts w:hint="eastAsia"/>
          <w:lang w:val="en-US" w:eastAsia="zh-CN"/>
        </w:rPr>
        <w:t>3、项目辅助明细账管理待规范</w:t>
      </w:r>
    </w:p>
    <w:p>
      <w:pPr>
        <w:rPr>
          <w:rFonts w:hint="default"/>
          <w:lang w:val="en-US" w:eastAsia="zh-CN"/>
        </w:rPr>
      </w:pPr>
      <w:r>
        <w:rPr>
          <w:rFonts w:hint="eastAsia"/>
          <w:lang w:val="en-US" w:eastAsia="zh-CN"/>
        </w:rPr>
        <w:t>评价小组</w:t>
      </w:r>
      <w:r>
        <w:rPr>
          <w:rFonts w:hint="default"/>
          <w:lang w:val="en-US" w:eastAsia="zh-CN"/>
        </w:rPr>
        <w:t>进行财务核查时发现该项目辅助明细账未能完全反应项目支出情况，同时存在部分归属于项目支出的资金未纳入核算，以及部分不属于项目的支出纳入项目辅助明细账核算，主要原因是市政所采取报账制，主管局核算分中心代其记账，未按市政所提供的报账单进行入账。</w:t>
      </w:r>
    </w:p>
    <w:p>
      <w:pPr>
        <w:pStyle w:val="3"/>
        <w:rPr>
          <w:rFonts w:hint="eastAsia"/>
        </w:rPr>
      </w:pPr>
      <w:bookmarkStart w:id="61" w:name="_Toc16368"/>
      <w:r>
        <w:rPr>
          <w:rFonts w:hint="eastAsia"/>
        </w:rPr>
        <w:t>六、有关建议</w:t>
      </w:r>
      <w:bookmarkEnd w:id="60"/>
      <w:bookmarkEnd w:id="61"/>
    </w:p>
    <w:p>
      <w:pPr>
        <w:pStyle w:val="4"/>
        <w:bidi w:val="0"/>
        <w:rPr>
          <w:rFonts w:hint="default"/>
          <w:sz w:val="28"/>
          <w:szCs w:val="28"/>
          <w:lang w:val="en-US" w:eastAsia="zh-CN"/>
        </w:rPr>
      </w:pPr>
      <w:bookmarkStart w:id="62" w:name="_Toc19103"/>
      <w:bookmarkStart w:id="63" w:name="_Toc28790"/>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制定更新一套完整的业务管理制度，促进制度落实</w:t>
      </w:r>
      <w:bookmarkEnd w:id="62"/>
    </w:p>
    <w:p>
      <w:pPr>
        <w:rPr>
          <w:rFonts w:hint="eastAsia"/>
          <w:lang w:val="en-US" w:eastAsia="zh-CN"/>
        </w:rPr>
      </w:pPr>
      <w:r>
        <w:rPr>
          <w:rFonts w:hint="eastAsia"/>
          <w:lang w:val="en-US" w:eastAsia="zh-CN"/>
        </w:rPr>
        <w:t>区市政所应当结合单位职责，制定一套完整的市政设施管护制度，明确相关管护范围，针对各具体管护工作，可采取管理制度附件的形式，一一列出。同时，针对部分制度落实情况较差的情况，区市政所应当在制定设施管护制度时，应结合近年来工作经验，听取养护工作人员意见，结合上级部门工作要求及相关工作管理制度，制定适合现状的工作制度。</w:t>
      </w:r>
    </w:p>
    <w:p>
      <w:pPr>
        <w:pStyle w:val="4"/>
        <w:bidi w:val="0"/>
        <w:rPr>
          <w:rFonts w:hint="default"/>
          <w:sz w:val="28"/>
          <w:szCs w:val="28"/>
          <w:lang w:val="en-US" w:eastAsia="zh-CN"/>
        </w:rPr>
      </w:pPr>
      <w:bookmarkStart w:id="64" w:name="_Toc21097"/>
      <w:r>
        <w:rPr>
          <w:rFonts w:hint="eastAsia"/>
          <w:sz w:val="28"/>
          <w:szCs w:val="28"/>
          <w:lang w:val="en-US" w:eastAsia="zh-CN"/>
        </w:rPr>
        <w:t>（二）规范合同签订管理工作，避免法律风险</w:t>
      </w:r>
      <w:bookmarkEnd w:id="64"/>
    </w:p>
    <w:p>
      <w:pPr>
        <w:rPr>
          <w:rFonts w:hint="eastAsia"/>
          <w:lang w:val="en-US" w:eastAsia="zh-CN"/>
        </w:rPr>
      </w:pPr>
      <w:r>
        <w:rPr>
          <w:rFonts w:hint="eastAsia"/>
          <w:lang w:val="en-US" w:eastAsia="zh-CN"/>
        </w:rPr>
        <w:t>区市政所应当规范合同签订管理工作，针对与单位有关的协议内容，确保加盖单位公章，以保证合同效力，避免法律风险。</w:t>
      </w:r>
    </w:p>
    <w:p>
      <w:pPr>
        <w:pStyle w:val="4"/>
        <w:bidi w:val="0"/>
        <w:rPr>
          <w:rFonts w:hint="eastAsia"/>
          <w:lang w:val="en-US" w:eastAsia="zh-CN"/>
        </w:rPr>
      </w:pPr>
      <w:bookmarkStart w:id="65" w:name="_Toc9078"/>
      <w:r>
        <w:rPr>
          <w:rFonts w:hint="eastAsia"/>
          <w:sz w:val="28"/>
          <w:szCs w:val="28"/>
          <w:lang w:val="en-US" w:eastAsia="zh-CN"/>
        </w:rPr>
        <w:t>（三）做好财务监控，规范项目入账</w:t>
      </w:r>
      <w:bookmarkEnd w:id="65"/>
    </w:p>
    <w:p>
      <w:pPr>
        <w:rPr>
          <w:rFonts w:hint="default"/>
          <w:lang w:val="en-US" w:eastAsia="zh-CN"/>
        </w:rPr>
      </w:pPr>
      <w:r>
        <w:rPr>
          <w:rFonts w:hint="eastAsia"/>
          <w:lang w:val="en-US" w:eastAsia="zh-CN"/>
        </w:rPr>
        <w:t>区财政</w:t>
      </w:r>
      <w:r>
        <w:rPr>
          <w:rFonts w:hint="default"/>
          <w:lang w:val="en-US" w:eastAsia="zh-CN"/>
        </w:rPr>
        <w:t>《关于下达二〇二〇年度预算支出指标的通知》（东财字[2020]22号）</w:t>
      </w:r>
      <w:r>
        <w:rPr>
          <w:rFonts w:hint="eastAsia"/>
          <w:lang w:val="en-US" w:eastAsia="zh-CN"/>
        </w:rPr>
        <w:t>文件明确要求项目经费实行包干，并要求专款专用，区市政所应当做好财务中期监督情况，及时与主管局核算分中心核对各项支出入账情况，确保各项支出与其所属支出类型对应，降低项目资金核算难度，通过做好财务监控工作，及时调整支出列支情况，避免列支不规范的情况。</w:t>
      </w:r>
    </w:p>
    <w:p>
      <w:pPr>
        <w:pStyle w:val="3"/>
        <w:rPr>
          <w:rFonts w:hint="eastAsia" w:eastAsia="黑体"/>
          <w:lang w:val="en-US" w:eastAsia="zh-CN"/>
        </w:rPr>
      </w:pPr>
      <w:bookmarkStart w:id="66" w:name="_Toc5951"/>
      <w:r>
        <w:rPr>
          <w:rFonts w:hint="eastAsia"/>
        </w:rPr>
        <w:t>七、其他需要说明的问题</w:t>
      </w:r>
      <w:bookmarkEnd w:id="63"/>
      <w:bookmarkEnd w:id="66"/>
    </w:p>
    <w:p>
      <w:pPr>
        <w:rPr>
          <w:rFonts w:hint="default"/>
          <w:lang w:val="en-US" w:eastAsia="zh-CN"/>
        </w:rPr>
      </w:pPr>
      <w:r>
        <w:rPr>
          <w:rFonts w:hint="eastAsia"/>
          <w:lang w:val="en-US" w:eastAsia="zh-CN"/>
        </w:rPr>
        <w:t>无。</w:t>
      </w:r>
    </w:p>
    <w:p>
      <w:pPr>
        <w:rPr>
          <w:rFonts w:hint="default"/>
          <w:lang w:val="en-US" w:eastAsia="zh-CN"/>
        </w:rPr>
      </w:pPr>
    </w:p>
    <w:sectPr>
      <w:footerReference r:id="rId10" w:type="default"/>
      <w:pgSz w:w="11906" w:h="16838"/>
      <w:pgMar w:top="1928" w:right="1531" w:bottom="1701" w:left="1531" w:header="850" w:footer="992" w:gutter="0"/>
      <w:pgNumType w:fmt="decimal"/>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18</w:t>
                          </w:r>
                          <w: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us9sBAAC+AwAADgAAAGRycy9lMm9Eb2MueG1srVPNjtMwEL4j8Q6W&#10;7zTZHlAUNV2BqkVICJAWHsB1nMaS/zTjNikPAG/AiQt3nqvPwdhJurBc9sAlmT9/M9/n8eZ2tIad&#10;FKD2ruE3q5Iz5aRvtTs0/POnuxcVZxiFa4XxTjX8rJDfbp8/2wyhVmvfe9MqYATisB5Cw/sYQ10U&#10;KHtlBa58UI6SnQcrIrlwKFoQA6FbU6zL8mUxeGgDeKkQKbqbknxGhKcA+q7TUu28PFrl4oQKyohI&#10;lLDXAfk2T9t1SsYPXYcqMtNwYhrzl5qQvU/fYrsR9QFE6LWcRxBPGeERJyu0o6ZXqJ2Igh1B/wNl&#10;tQSPvosr6W0xEcmKEIub8pE2970IKnMhqTFcRcf/Byvfnz4C023D15w5YenCL9+/XX78uvz8yqok&#10;zxCwpqr7QHVxfO1HWpoljhRMrMcObPoTH0Z5Evd8FVeNkcl0qFpXVUkpSbnFIfzi4XgAjG+UtywZ&#10;DQe6vSyqOL3DOJUuJamb83famHyDxv0VIMwpovIKzKcTk2niZMVxP8709r49Ezt6FNS19/CFs4FW&#10;ouGOXgBn5q0jxdP2LAYsxn4xhJN0sOGRs2MAfejzpqWhMLw6Rpo0E0iNp25EPDl0rVmCeQXT3vzp&#10;56qHZ7f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75i6z2wEAAL4DAAAOAAAAAAAAAAEA&#10;IAAAAB4BAABkcnMvZTJvRG9jLnhtbFBLBQYAAAAABgAGAFkBAABrBQ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18</w:t>
                          </w:r>
                          <w: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VCtsBAAC+AwAADgAAAGRycy9lMm9Eb2MueG1srVPNjtMwEL4j8Q6W&#10;7zTZHlAUNV2BqkVICJAWHsB1nMaS7bHGbpPyAPAGnLhw57n6HIydpAvLZQ9ckvnzN/N9Hm9uR2vY&#10;SWHQ4Bp+syo5U05Cq92h4Z8/3b2oOAtRuFYYcKrhZxX47fb5s83ga7WGHkyrkBGIC/XgG97H6Oui&#10;CLJXVoQVeOUo2QFaEcnFQ9GiGAjdmmJdli+LAbD1CFKFQNHdlOQzIj4FELpOS7UDebTKxQkVlRGR&#10;KIVe+8C3edquUzJ+6LqgIjMNJ6Yxf6kJ2fv0LbYbUR9Q+F7LeQTxlBEecbJCO2p6hdqJKNgR9T9Q&#10;VkuEAF1cSbDFRCQrQixuykfa3PfCq8yFpA7+Knr4f7Dy/ekjMt3SJnDmhKULv3z/dvnx6/LzK6uS&#10;PIMPNVXde6qL42sYU+kcDxRMrMcObfoTH0Z5Evd8FVeNkcl0qFpXVUkpSbnFIZzi4bjHEN8osCwZ&#10;DUe6vSyqOL0LcSpdSlI3B3faGIqL2ri/AoQ5RVRegfl0YjJNnKw47seZxh7aM7GjR0Fde8AvnA20&#10;Eg139AI4M28dKZ62ZzFwMfaLIZykgw2PnB096kOfNy0NFfyrY6RJM4HUeOpGxJND15olmFcw7c2f&#10;fq56eHb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CMuZUK2wEAAL4DAAAOAAAAAAAAAAEA&#10;IAAAAB4BAABkcnMvZTJvRG9jLnhtbFBLBQYAAAAABgAGAFkBAABrBQ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216"/>
      </w:tabs>
      <w:ind w:firstLine="360"/>
      <w:jc w:val="left"/>
    </w:pPr>
    <w:r>
      <w:rPr>
        <w:rFonts w:hint="eastAsia"/>
      </w:rPr>
      <w:tab/>
    </w:r>
  </w:p>
  <w:p>
    <w:pPr>
      <w:pStyle w:val="10"/>
      <w:tabs>
        <w:tab w:val="left" w:pos="3216"/>
      </w:tabs>
      <w:ind w:firstLine="360"/>
      <w:jc w:val="center"/>
    </w:pPr>
  </w:p>
  <w:p>
    <w:pPr>
      <w:pStyle w:val="10"/>
      <w:tabs>
        <w:tab w:val="left" w:pos="3216"/>
      </w:tabs>
      <w:ind w:firstLine="360"/>
      <w:jc w:val="center"/>
    </w:pPr>
  </w:p>
  <w:p>
    <w:pPr>
      <w:pStyle w:val="10"/>
      <w:tabs>
        <w:tab w:val="left" w:pos="3216"/>
      </w:tabs>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216"/>
      </w:tabs>
      <w:ind w:firstLine="360"/>
      <w:jc w:val="center"/>
    </w:pPr>
  </w:p>
  <w:p>
    <w:pPr>
      <w:pStyle w:val="10"/>
      <w:tabs>
        <w:tab w:val="left" w:pos="3216"/>
      </w:tabs>
      <w:ind w:firstLine="360"/>
      <w:jc w:val="center"/>
    </w:pPr>
  </w:p>
  <w:p>
    <w:pPr>
      <w:pStyle w:val="10"/>
      <w:tabs>
        <w:tab w:val="left" w:pos="3216"/>
      </w:tabs>
      <w:ind w:firstLine="360"/>
      <w:jc w:val="center"/>
    </w:pPr>
  </w:p>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216"/>
      </w:tabs>
      <w:ind w:firstLine="360"/>
      <w:jc w:val="left"/>
    </w:pPr>
    <w:r>
      <w:rPr>
        <w:rFonts w:hint="eastAsia"/>
      </w:rPr>
      <w:tab/>
    </w:r>
  </w:p>
  <w:p>
    <w:pPr>
      <w:pStyle w:val="10"/>
      <w:tabs>
        <w:tab w:val="left" w:pos="3216"/>
      </w:tabs>
      <w:ind w:firstLine="360"/>
      <w:jc w:val="center"/>
    </w:pPr>
  </w:p>
  <w:p>
    <w:pPr>
      <w:pStyle w:val="10"/>
      <w:tabs>
        <w:tab w:val="left" w:pos="3216"/>
      </w:tabs>
      <w:ind w:firstLine="360"/>
      <w:jc w:val="center"/>
    </w:pPr>
  </w:p>
  <w:p>
    <w:pPr>
      <w:pStyle w:val="10"/>
      <w:pBdr>
        <w:bottom w:val="single" w:color="auto" w:sz="4" w:space="1"/>
      </w:pBdr>
      <w:tabs>
        <w:tab w:val="left" w:pos="3216"/>
      </w:tabs>
      <w:ind w:firstLine="0" w:firstLineChars="0"/>
      <w:jc w:val="center"/>
    </w:pPr>
    <w:r>
      <w:rPr>
        <w:rFonts w:hint="eastAsia" w:ascii="Calibri"/>
        <w:lang w:val="en-US" w:eastAsia="zh-CN"/>
      </w:rPr>
      <w:t>东湖区市政养护管理所市政养护工作经费项目</w:t>
    </w:r>
    <w:r>
      <w:rPr>
        <w:rFonts w:hint="eastAsia" w:ascii="Calibri"/>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620CC"/>
    <w:multiLevelType w:val="singleLevel"/>
    <w:tmpl w:val="7AC620C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593B"/>
    <w:rsid w:val="0022380D"/>
    <w:rsid w:val="00490E80"/>
    <w:rsid w:val="00496CBF"/>
    <w:rsid w:val="00565A0D"/>
    <w:rsid w:val="006D59A7"/>
    <w:rsid w:val="00702062"/>
    <w:rsid w:val="00804082"/>
    <w:rsid w:val="00856A23"/>
    <w:rsid w:val="008A4E4A"/>
    <w:rsid w:val="00972C5C"/>
    <w:rsid w:val="009F4486"/>
    <w:rsid w:val="00B11BF9"/>
    <w:rsid w:val="00D236E9"/>
    <w:rsid w:val="00D35697"/>
    <w:rsid w:val="00F33391"/>
    <w:rsid w:val="00F85084"/>
    <w:rsid w:val="00FA0320"/>
    <w:rsid w:val="00FE4D90"/>
    <w:rsid w:val="010A7BA5"/>
    <w:rsid w:val="010D5867"/>
    <w:rsid w:val="01152A21"/>
    <w:rsid w:val="012E5601"/>
    <w:rsid w:val="01CA16F8"/>
    <w:rsid w:val="01FC69C8"/>
    <w:rsid w:val="020F611E"/>
    <w:rsid w:val="02323AB7"/>
    <w:rsid w:val="028B0D00"/>
    <w:rsid w:val="02A3579C"/>
    <w:rsid w:val="02C40BDB"/>
    <w:rsid w:val="03047F5F"/>
    <w:rsid w:val="03714F48"/>
    <w:rsid w:val="037D61D1"/>
    <w:rsid w:val="038003B0"/>
    <w:rsid w:val="039432DF"/>
    <w:rsid w:val="03AD2C16"/>
    <w:rsid w:val="03ED06F8"/>
    <w:rsid w:val="03EE0EDE"/>
    <w:rsid w:val="03F60B4A"/>
    <w:rsid w:val="04046248"/>
    <w:rsid w:val="0443778C"/>
    <w:rsid w:val="04880397"/>
    <w:rsid w:val="048A47D9"/>
    <w:rsid w:val="04962B17"/>
    <w:rsid w:val="04A06623"/>
    <w:rsid w:val="04D2173C"/>
    <w:rsid w:val="04EE5D42"/>
    <w:rsid w:val="04FF3546"/>
    <w:rsid w:val="05101A46"/>
    <w:rsid w:val="051A4BC8"/>
    <w:rsid w:val="057B5DF5"/>
    <w:rsid w:val="058829A4"/>
    <w:rsid w:val="05B0474F"/>
    <w:rsid w:val="05C3222F"/>
    <w:rsid w:val="05D24FD1"/>
    <w:rsid w:val="05F935EF"/>
    <w:rsid w:val="06483B0D"/>
    <w:rsid w:val="065E6D46"/>
    <w:rsid w:val="067E181F"/>
    <w:rsid w:val="069251E8"/>
    <w:rsid w:val="06E6791E"/>
    <w:rsid w:val="06FE1DC3"/>
    <w:rsid w:val="07053545"/>
    <w:rsid w:val="070C53AA"/>
    <w:rsid w:val="0713000E"/>
    <w:rsid w:val="07184DFA"/>
    <w:rsid w:val="074744F1"/>
    <w:rsid w:val="078B01E2"/>
    <w:rsid w:val="079600EE"/>
    <w:rsid w:val="07BD0DAE"/>
    <w:rsid w:val="07D209C8"/>
    <w:rsid w:val="07FD6AAE"/>
    <w:rsid w:val="082813C2"/>
    <w:rsid w:val="0828223C"/>
    <w:rsid w:val="08317CCB"/>
    <w:rsid w:val="0851671C"/>
    <w:rsid w:val="08580387"/>
    <w:rsid w:val="089C6D00"/>
    <w:rsid w:val="08DC5EF9"/>
    <w:rsid w:val="08EC0E50"/>
    <w:rsid w:val="090050E3"/>
    <w:rsid w:val="091C27B8"/>
    <w:rsid w:val="09555799"/>
    <w:rsid w:val="098622AC"/>
    <w:rsid w:val="09AC1BB2"/>
    <w:rsid w:val="09AD14FA"/>
    <w:rsid w:val="09EA518D"/>
    <w:rsid w:val="0A4B5DAD"/>
    <w:rsid w:val="0A7224F6"/>
    <w:rsid w:val="0B08476E"/>
    <w:rsid w:val="0B375865"/>
    <w:rsid w:val="0B934EFC"/>
    <w:rsid w:val="0B945929"/>
    <w:rsid w:val="0BB75E59"/>
    <w:rsid w:val="0BB97240"/>
    <w:rsid w:val="0BD11A40"/>
    <w:rsid w:val="0BD4431A"/>
    <w:rsid w:val="0BE3094C"/>
    <w:rsid w:val="0BEA5871"/>
    <w:rsid w:val="0BEB58B8"/>
    <w:rsid w:val="0C062D0E"/>
    <w:rsid w:val="0C174177"/>
    <w:rsid w:val="0C1747E9"/>
    <w:rsid w:val="0C326D81"/>
    <w:rsid w:val="0C596F40"/>
    <w:rsid w:val="0C727600"/>
    <w:rsid w:val="0C84130B"/>
    <w:rsid w:val="0C86133E"/>
    <w:rsid w:val="0C9A67ED"/>
    <w:rsid w:val="0CD05480"/>
    <w:rsid w:val="0D5C13D4"/>
    <w:rsid w:val="0D777D39"/>
    <w:rsid w:val="0D781D1D"/>
    <w:rsid w:val="0D896620"/>
    <w:rsid w:val="0DD507DE"/>
    <w:rsid w:val="0E097BAF"/>
    <w:rsid w:val="0E1816CB"/>
    <w:rsid w:val="0E2E552B"/>
    <w:rsid w:val="0E5A2BA6"/>
    <w:rsid w:val="0E7D0480"/>
    <w:rsid w:val="0ED43B60"/>
    <w:rsid w:val="0ED56FDD"/>
    <w:rsid w:val="0F651142"/>
    <w:rsid w:val="0F821D81"/>
    <w:rsid w:val="0F8779A6"/>
    <w:rsid w:val="0FA721EB"/>
    <w:rsid w:val="0FBC0705"/>
    <w:rsid w:val="0FCB363F"/>
    <w:rsid w:val="103751F7"/>
    <w:rsid w:val="10430944"/>
    <w:rsid w:val="10960249"/>
    <w:rsid w:val="10A64306"/>
    <w:rsid w:val="10AE2147"/>
    <w:rsid w:val="10B5243C"/>
    <w:rsid w:val="10CC545C"/>
    <w:rsid w:val="113F5F6F"/>
    <w:rsid w:val="11436C41"/>
    <w:rsid w:val="1173286D"/>
    <w:rsid w:val="11926C26"/>
    <w:rsid w:val="1229216E"/>
    <w:rsid w:val="12305379"/>
    <w:rsid w:val="1241135D"/>
    <w:rsid w:val="126A1780"/>
    <w:rsid w:val="128E7265"/>
    <w:rsid w:val="129C1B9F"/>
    <w:rsid w:val="12A15EC4"/>
    <w:rsid w:val="12B448C1"/>
    <w:rsid w:val="130C3C6B"/>
    <w:rsid w:val="131245E7"/>
    <w:rsid w:val="132C1B4C"/>
    <w:rsid w:val="133542D8"/>
    <w:rsid w:val="134E64EF"/>
    <w:rsid w:val="135C3795"/>
    <w:rsid w:val="138C7420"/>
    <w:rsid w:val="13A72300"/>
    <w:rsid w:val="13D21B2D"/>
    <w:rsid w:val="13E92DD6"/>
    <w:rsid w:val="141178BF"/>
    <w:rsid w:val="14183805"/>
    <w:rsid w:val="142B00ED"/>
    <w:rsid w:val="142B73B2"/>
    <w:rsid w:val="14472F57"/>
    <w:rsid w:val="146327DC"/>
    <w:rsid w:val="146E46E2"/>
    <w:rsid w:val="14B07C85"/>
    <w:rsid w:val="14ED212F"/>
    <w:rsid w:val="14F42E3C"/>
    <w:rsid w:val="150E0817"/>
    <w:rsid w:val="153D0EB7"/>
    <w:rsid w:val="156F5C8C"/>
    <w:rsid w:val="15927163"/>
    <w:rsid w:val="15A3417E"/>
    <w:rsid w:val="16302337"/>
    <w:rsid w:val="164556AA"/>
    <w:rsid w:val="16B43061"/>
    <w:rsid w:val="16D6678E"/>
    <w:rsid w:val="16D908F6"/>
    <w:rsid w:val="1739268B"/>
    <w:rsid w:val="175225D5"/>
    <w:rsid w:val="17720ACA"/>
    <w:rsid w:val="17C52CD6"/>
    <w:rsid w:val="17E21443"/>
    <w:rsid w:val="17F42E8B"/>
    <w:rsid w:val="186911B2"/>
    <w:rsid w:val="18A81C0B"/>
    <w:rsid w:val="18B353B6"/>
    <w:rsid w:val="18B72751"/>
    <w:rsid w:val="18DD2C01"/>
    <w:rsid w:val="18EB30DF"/>
    <w:rsid w:val="18EE68B7"/>
    <w:rsid w:val="19157D18"/>
    <w:rsid w:val="192F6124"/>
    <w:rsid w:val="1939060F"/>
    <w:rsid w:val="19593C55"/>
    <w:rsid w:val="196304E0"/>
    <w:rsid w:val="196D7BA2"/>
    <w:rsid w:val="19D75177"/>
    <w:rsid w:val="19EF4912"/>
    <w:rsid w:val="19FE1DA8"/>
    <w:rsid w:val="1A223ED0"/>
    <w:rsid w:val="1A3A3314"/>
    <w:rsid w:val="1A86421B"/>
    <w:rsid w:val="1A883042"/>
    <w:rsid w:val="1A8C3594"/>
    <w:rsid w:val="1AB859CB"/>
    <w:rsid w:val="1AB85E3C"/>
    <w:rsid w:val="1ACD273B"/>
    <w:rsid w:val="1AF507B6"/>
    <w:rsid w:val="1B0B04D3"/>
    <w:rsid w:val="1B3C7093"/>
    <w:rsid w:val="1B4D7AF9"/>
    <w:rsid w:val="1B685FC3"/>
    <w:rsid w:val="1B7C0D11"/>
    <w:rsid w:val="1BD52ED2"/>
    <w:rsid w:val="1BF501D8"/>
    <w:rsid w:val="1C351600"/>
    <w:rsid w:val="1C8C213B"/>
    <w:rsid w:val="1CB52007"/>
    <w:rsid w:val="1D12793E"/>
    <w:rsid w:val="1D1C3E8F"/>
    <w:rsid w:val="1D34626B"/>
    <w:rsid w:val="1D4F4DC7"/>
    <w:rsid w:val="1D883330"/>
    <w:rsid w:val="1DA94580"/>
    <w:rsid w:val="1E1546F8"/>
    <w:rsid w:val="1E644794"/>
    <w:rsid w:val="1E712160"/>
    <w:rsid w:val="1EBF6847"/>
    <w:rsid w:val="1ECA0BC4"/>
    <w:rsid w:val="1EDF4331"/>
    <w:rsid w:val="1EE3318C"/>
    <w:rsid w:val="1F8B322C"/>
    <w:rsid w:val="1F96704C"/>
    <w:rsid w:val="1FD431BF"/>
    <w:rsid w:val="1FDA5FAB"/>
    <w:rsid w:val="1FFE2A9B"/>
    <w:rsid w:val="20044797"/>
    <w:rsid w:val="20757680"/>
    <w:rsid w:val="20A8687C"/>
    <w:rsid w:val="20A97666"/>
    <w:rsid w:val="20D35DCE"/>
    <w:rsid w:val="21081734"/>
    <w:rsid w:val="2113453C"/>
    <w:rsid w:val="213269E7"/>
    <w:rsid w:val="21460499"/>
    <w:rsid w:val="21494752"/>
    <w:rsid w:val="218B5E18"/>
    <w:rsid w:val="21913E8B"/>
    <w:rsid w:val="21AA3719"/>
    <w:rsid w:val="21D53EA3"/>
    <w:rsid w:val="21DA5B8F"/>
    <w:rsid w:val="21F869C3"/>
    <w:rsid w:val="22454F80"/>
    <w:rsid w:val="225A61FE"/>
    <w:rsid w:val="225D349E"/>
    <w:rsid w:val="22F46C7B"/>
    <w:rsid w:val="23054676"/>
    <w:rsid w:val="235148F7"/>
    <w:rsid w:val="23525B4A"/>
    <w:rsid w:val="23814608"/>
    <w:rsid w:val="23826CC3"/>
    <w:rsid w:val="238910AE"/>
    <w:rsid w:val="23A45FA2"/>
    <w:rsid w:val="23B96E12"/>
    <w:rsid w:val="2450025D"/>
    <w:rsid w:val="24575675"/>
    <w:rsid w:val="247029DC"/>
    <w:rsid w:val="24A436A6"/>
    <w:rsid w:val="24A83BCB"/>
    <w:rsid w:val="24D84524"/>
    <w:rsid w:val="24EB44A7"/>
    <w:rsid w:val="25140D9D"/>
    <w:rsid w:val="251D2244"/>
    <w:rsid w:val="25603EB1"/>
    <w:rsid w:val="256C6D1A"/>
    <w:rsid w:val="25A77F47"/>
    <w:rsid w:val="25C60BAE"/>
    <w:rsid w:val="25DD5236"/>
    <w:rsid w:val="25FD2A04"/>
    <w:rsid w:val="278A6FEB"/>
    <w:rsid w:val="27D03683"/>
    <w:rsid w:val="27D66666"/>
    <w:rsid w:val="27E4456F"/>
    <w:rsid w:val="27E73F9D"/>
    <w:rsid w:val="27F9226B"/>
    <w:rsid w:val="28384B28"/>
    <w:rsid w:val="28784433"/>
    <w:rsid w:val="28B536E8"/>
    <w:rsid w:val="28D330C2"/>
    <w:rsid w:val="28DC7EEE"/>
    <w:rsid w:val="29035DBA"/>
    <w:rsid w:val="29105084"/>
    <w:rsid w:val="29576AD0"/>
    <w:rsid w:val="296557B7"/>
    <w:rsid w:val="29CF5080"/>
    <w:rsid w:val="29FD0939"/>
    <w:rsid w:val="2A0E5F41"/>
    <w:rsid w:val="2A190838"/>
    <w:rsid w:val="2A5F7269"/>
    <w:rsid w:val="2A7147B4"/>
    <w:rsid w:val="2A79767F"/>
    <w:rsid w:val="2AB919C1"/>
    <w:rsid w:val="2AEB44A0"/>
    <w:rsid w:val="2B0D24B3"/>
    <w:rsid w:val="2B232B6C"/>
    <w:rsid w:val="2B3535B2"/>
    <w:rsid w:val="2B61551F"/>
    <w:rsid w:val="2B986715"/>
    <w:rsid w:val="2B9F2E40"/>
    <w:rsid w:val="2BB134AB"/>
    <w:rsid w:val="2BE102CC"/>
    <w:rsid w:val="2BEF6CD9"/>
    <w:rsid w:val="2C215D2E"/>
    <w:rsid w:val="2C2F61EE"/>
    <w:rsid w:val="2C672F5C"/>
    <w:rsid w:val="2C68720D"/>
    <w:rsid w:val="2C6A0635"/>
    <w:rsid w:val="2CB11B5E"/>
    <w:rsid w:val="2CC6008F"/>
    <w:rsid w:val="2CF35E79"/>
    <w:rsid w:val="2D0A3CA6"/>
    <w:rsid w:val="2D3720CB"/>
    <w:rsid w:val="2D533F3E"/>
    <w:rsid w:val="2D6E77F5"/>
    <w:rsid w:val="2D82525E"/>
    <w:rsid w:val="2DA9126E"/>
    <w:rsid w:val="2DAF28D2"/>
    <w:rsid w:val="2DBC1394"/>
    <w:rsid w:val="2DD13810"/>
    <w:rsid w:val="2DDF51EE"/>
    <w:rsid w:val="2DEB6A74"/>
    <w:rsid w:val="2DFD6545"/>
    <w:rsid w:val="2E0A55EB"/>
    <w:rsid w:val="2E3B4AA9"/>
    <w:rsid w:val="2EA4581B"/>
    <w:rsid w:val="2EAC1BFC"/>
    <w:rsid w:val="2ECE453B"/>
    <w:rsid w:val="2F2E327D"/>
    <w:rsid w:val="2F9B61D3"/>
    <w:rsid w:val="2FE81E9A"/>
    <w:rsid w:val="300A721B"/>
    <w:rsid w:val="305C36A3"/>
    <w:rsid w:val="30743D88"/>
    <w:rsid w:val="30754FC5"/>
    <w:rsid w:val="307E3467"/>
    <w:rsid w:val="307E7B43"/>
    <w:rsid w:val="308D0320"/>
    <w:rsid w:val="30B46E4E"/>
    <w:rsid w:val="30CF6D45"/>
    <w:rsid w:val="310066F9"/>
    <w:rsid w:val="31297AE3"/>
    <w:rsid w:val="313838E5"/>
    <w:rsid w:val="317631D5"/>
    <w:rsid w:val="3193056C"/>
    <w:rsid w:val="31F62C42"/>
    <w:rsid w:val="31FD2861"/>
    <w:rsid w:val="322F7C0F"/>
    <w:rsid w:val="323B6DA5"/>
    <w:rsid w:val="325656B5"/>
    <w:rsid w:val="32962227"/>
    <w:rsid w:val="329B2CC9"/>
    <w:rsid w:val="32A57E58"/>
    <w:rsid w:val="32E03D79"/>
    <w:rsid w:val="33195788"/>
    <w:rsid w:val="33254787"/>
    <w:rsid w:val="33335E1F"/>
    <w:rsid w:val="335C4A49"/>
    <w:rsid w:val="337B6420"/>
    <w:rsid w:val="3384134D"/>
    <w:rsid w:val="33D947A1"/>
    <w:rsid w:val="344F7473"/>
    <w:rsid w:val="345B027D"/>
    <w:rsid w:val="346309EA"/>
    <w:rsid w:val="347263E3"/>
    <w:rsid w:val="34915F59"/>
    <w:rsid w:val="34BB3A52"/>
    <w:rsid w:val="34C25FBB"/>
    <w:rsid w:val="34C424C3"/>
    <w:rsid w:val="34D0595E"/>
    <w:rsid w:val="35002695"/>
    <w:rsid w:val="352C787E"/>
    <w:rsid w:val="354B0869"/>
    <w:rsid w:val="354B6601"/>
    <w:rsid w:val="3561109E"/>
    <w:rsid w:val="357232FF"/>
    <w:rsid w:val="35F470A9"/>
    <w:rsid w:val="36443482"/>
    <w:rsid w:val="36904401"/>
    <w:rsid w:val="36A9382C"/>
    <w:rsid w:val="36B4451D"/>
    <w:rsid w:val="36B9151A"/>
    <w:rsid w:val="36BD5CFA"/>
    <w:rsid w:val="36DA6C5C"/>
    <w:rsid w:val="36ED2160"/>
    <w:rsid w:val="370A41D9"/>
    <w:rsid w:val="3713795C"/>
    <w:rsid w:val="373024E9"/>
    <w:rsid w:val="373D7372"/>
    <w:rsid w:val="374968C0"/>
    <w:rsid w:val="37A51A75"/>
    <w:rsid w:val="37D629C4"/>
    <w:rsid w:val="38021460"/>
    <w:rsid w:val="38162DE3"/>
    <w:rsid w:val="38261C8F"/>
    <w:rsid w:val="38294EFA"/>
    <w:rsid w:val="382B370B"/>
    <w:rsid w:val="382C43B3"/>
    <w:rsid w:val="385E0EC3"/>
    <w:rsid w:val="38717226"/>
    <w:rsid w:val="388D00F2"/>
    <w:rsid w:val="38A17AEF"/>
    <w:rsid w:val="38BB4506"/>
    <w:rsid w:val="38C159B4"/>
    <w:rsid w:val="391A48E9"/>
    <w:rsid w:val="392E2CD5"/>
    <w:rsid w:val="39993EAE"/>
    <w:rsid w:val="399D5F4E"/>
    <w:rsid w:val="399E023D"/>
    <w:rsid w:val="39AA2344"/>
    <w:rsid w:val="39B06C6C"/>
    <w:rsid w:val="39C3401C"/>
    <w:rsid w:val="39C714E3"/>
    <w:rsid w:val="39CF3158"/>
    <w:rsid w:val="3A0E2B55"/>
    <w:rsid w:val="3A246B12"/>
    <w:rsid w:val="3A3138D2"/>
    <w:rsid w:val="3A5E669E"/>
    <w:rsid w:val="3A9F3AB5"/>
    <w:rsid w:val="3AA41C67"/>
    <w:rsid w:val="3B472947"/>
    <w:rsid w:val="3B712F0C"/>
    <w:rsid w:val="3B847074"/>
    <w:rsid w:val="3C503BD5"/>
    <w:rsid w:val="3C572A8D"/>
    <w:rsid w:val="3C7664B4"/>
    <w:rsid w:val="3C861FCE"/>
    <w:rsid w:val="3C9866D4"/>
    <w:rsid w:val="3C9C6698"/>
    <w:rsid w:val="3CA433D5"/>
    <w:rsid w:val="3D2231CC"/>
    <w:rsid w:val="3D6C7BDC"/>
    <w:rsid w:val="3D6E56D7"/>
    <w:rsid w:val="3D974407"/>
    <w:rsid w:val="3DAE2E7E"/>
    <w:rsid w:val="3DC84100"/>
    <w:rsid w:val="3DE65FD2"/>
    <w:rsid w:val="3DE83F6B"/>
    <w:rsid w:val="3DFA244C"/>
    <w:rsid w:val="3E077F44"/>
    <w:rsid w:val="3E2625F4"/>
    <w:rsid w:val="3E6C5069"/>
    <w:rsid w:val="3E762119"/>
    <w:rsid w:val="3E763E82"/>
    <w:rsid w:val="3E771621"/>
    <w:rsid w:val="3EA8298F"/>
    <w:rsid w:val="3EB743C4"/>
    <w:rsid w:val="3EF23401"/>
    <w:rsid w:val="3F004AC5"/>
    <w:rsid w:val="3F3B5C20"/>
    <w:rsid w:val="3F447787"/>
    <w:rsid w:val="3F602CB6"/>
    <w:rsid w:val="3F801DE6"/>
    <w:rsid w:val="3F886DC3"/>
    <w:rsid w:val="3FE81301"/>
    <w:rsid w:val="407749F0"/>
    <w:rsid w:val="40BA4E4A"/>
    <w:rsid w:val="40C01894"/>
    <w:rsid w:val="40C06AE4"/>
    <w:rsid w:val="40DE6BE3"/>
    <w:rsid w:val="40E40A8A"/>
    <w:rsid w:val="40FA690B"/>
    <w:rsid w:val="41083DAE"/>
    <w:rsid w:val="41132C59"/>
    <w:rsid w:val="412F57F4"/>
    <w:rsid w:val="41511342"/>
    <w:rsid w:val="41722BE9"/>
    <w:rsid w:val="419078E6"/>
    <w:rsid w:val="41956E4E"/>
    <w:rsid w:val="41EC585F"/>
    <w:rsid w:val="420100CB"/>
    <w:rsid w:val="420A20F7"/>
    <w:rsid w:val="421F5FE2"/>
    <w:rsid w:val="422D156A"/>
    <w:rsid w:val="42810DF3"/>
    <w:rsid w:val="42A01C4A"/>
    <w:rsid w:val="42C26811"/>
    <w:rsid w:val="42D75A0A"/>
    <w:rsid w:val="42DA522F"/>
    <w:rsid w:val="42DA6B43"/>
    <w:rsid w:val="43636E4E"/>
    <w:rsid w:val="436E0F71"/>
    <w:rsid w:val="43C266E8"/>
    <w:rsid w:val="43EB697D"/>
    <w:rsid w:val="43F730DA"/>
    <w:rsid w:val="43F77E73"/>
    <w:rsid w:val="44136CEA"/>
    <w:rsid w:val="44284341"/>
    <w:rsid w:val="443A4A6B"/>
    <w:rsid w:val="445D37FA"/>
    <w:rsid w:val="447076D4"/>
    <w:rsid w:val="4477396C"/>
    <w:rsid w:val="44B159C6"/>
    <w:rsid w:val="44BF25F1"/>
    <w:rsid w:val="44C07944"/>
    <w:rsid w:val="44DB4FA0"/>
    <w:rsid w:val="44F433C5"/>
    <w:rsid w:val="4500183A"/>
    <w:rsid w:val="45C2003E"/>
    <w:rsid w:val="45C5081E"/>
    <w:rsid w:val="46484118"/>
    <w:rsid w:val="46CC36C7"/>
    <w:rsid w:val="46CE579A"/>
    <w:rsid w:val="46D32DA4"/>
    <w:rsid w:val="46EA0D94"/>
    <w:rsid w:val="46EA134D"/>
    <w:rsid w:val="470425A0"/>
    <w:rsid w:val="47364C81"/>
    <w:rsid w:val="473D1305"/>
    <w:rsid w:val="474F3003"/>
    <w:rsid w:val="474F76B3"/>
    <w:rsid w:val="477C2094"/>
    <w:rsid w:val="47947D99"/>
    <w:rsid w:val="479E0B3F"/>
    <w:rsid w:val="47A86E85"/>
    <w:rsid w:val="47B95770"/>
    <w:rsid w:val="480E0B1A"/>
    <w:rsid w:val="48443062"/>
    <w:rsid w:val="48575544"/>
    <w:rsid w:val="487359F9"/>
    <w:rsid w:val="489C3949"/>
    <w:rsid w:val="48C81ACA"/>
    <w:rsid w:val="4931555C"/>
    <w:rsid w:val="49974C11"/>
    <w:rsid w:val="49C5059C"/>
    <w:rsid w:val="49E50706"/>
    <w:rsid w:val="4A1F0351"/>
    <w:rsid w:val="4A2952B3"/>
    <w:rsid w:val="4A38554C"/>
    <w:rsid w:val="4A3B6F59"/>
    <w:rsid w:val="4A5632DE"/>
    <w:rsid w:val="4AB035D0"/>
    <w:rsid w:val="4AB76E6A"/>
    <w:rsid w:val="4AF52C0D"/>
    <w:rsid w:val="4B372ACB"/>
    <w:rsid w:val="4B434576"/>
    <w:rsid w:val="4B442CC4"/>
    <w:rsid w:val="4B4737FF"/>
    <w:rsid w:val="4B910C6B"/>
    <w:rsid w:val="4BAB7037"/>
    <w:rsid w:val="4BE23957"/>
    <w:rsid w:val="4C783F2E"/>
    <w:rsid w:val="4CB611B5"/>
    <w:rsid w:val="4CBC35C3"/>
    <w:rsid w:val="4D2001AF"/>
    <w:rsid w:val="4D256D6D"/>
    <w:rsid w:val="4D443E62"/>
    <w:rsid w:val="4D483A50"/>
    <w:rsid w:val="4DAB0DC5"/>
    <w:rsid w:val="4DAF18D6"/>
    <w:rsid w:val="4DCE095D"/>
    <w:rsid w:val="4DD005E3"/>
    <w:rsid w:val="4DD86C49"/>
    <w:rsid w:val="4DE43F26"/>
    <w:rsid w:val="4DF85CA1"/>
    <w:rsid w:val="4E031316"/>
    <w:rsid w:val="4E170ADE"/>
    <w:rsid w:val="4E1C2B74"/>
    <w:rsid w:val="4E384044"/>
    <w:rsid w:val="4E4565A2"/>
    <w:rsid w:val="4E697B40"/>
    <w:rsid w:val="4E7C5BB8"/>
    <w:rsid w:val="4E921631"/>
    <w:rsid w:val="4E956B59"/>
    <w:rsid w:val="4E9C39AE"/>
    <w:rsid w:val="4EAC5D6C"/>
    <w:rsid w:val="4EAD6C88"/>
    <w:rsid w:val="4EB82AF3"/>
    <w:rsid w:val="4EBC6682"/>
    <w:rsid w:val="4EDD27DB"/>
    <w:rsid w:val="4EE952F6"/>
    <w:rsid w:val="4EFB7AED"/>
    <w:rsid w:val="4F1629D3"/>
    <w:rsid w:val="4F6B32A4"/>
    <w:rsid w:val="4F9E1CDD"/>
    <w:rsid w:val="4FD14548"/>
    <w:rsid w:val="50096983"/>
    <w:rsid w:val="503B16C8"/>
    <w:rsid w:val="50413032"/>
    <w:rsid w:val="50574702"/>
    <w:rsid w:val="50677B17"/>
    <w:rsid w:val="50A32D71"/>
    <w:rsid w:val="50CD314F"/>
    <w:rsid w:val="50FE7BB8"/>
    <w:rsid w:val="51746387"/>
    <w:rsid w:val="51797E8C"/>
    <w:rsid w:val="518329FC"/>
    <w:rsid w:val="519B1D29"/>
    <w:rsid w:val="51B1576C"/>
    <w:rsid w:val="51BB199D"/>
    <w:rsid w:val="521E1AC9"/>
    <w:rsid w:val="52787233"/>
    <w:rsid w:val="527C09FE"/>
    <w:rsid w:val="52A113FA"/>
    <w:rsid w:val="52C31BBA"/>
    <w:rsid w:val="52C96FD5"/>
    <w:rsid w:val="52D12562"/>
    <w:rsid w:val="52DC65A3"/>
    <w:rsid w:val="52E56547"/>
    <w:rsid w:val="533F37F6"/>
    <w:rsid w:val="5353224D"/>
    <w:rsid w:val="5363755A"/>
    <w:rsid w:val="54065EAB"/>
    <w:rsid w:val="54417996"/>
    <w:rsid w:val="545826E1"/>
    <w:rsid w:val="54BF66A6"/>
    <w:rsid w:val="54F352A6"/>
    <w:rsid w:val="550B4CB7"/>
    <w:rsid w:val="553F4B73"/>
    <w:rsid w:val="55583908"/>
    <w:rsid w:val="55827DC8"/>
    <w:rsid w:val="55941DEE"/>
    <w:rsid w:val="55A001CA"/>
    <w:rsid w:val="55B07D12"/>
    <w:rsid w:val="55EF3B2D"/>
    <w:rsid w:val="5617715A"/>
    <w:rsid w:val="563048EC"/>
    <w:rsid w:val="563A3624"/>
    <w:rsid w:val="564C7E6E"/>
    <w:rsid w:val="567E71B7"/>
    <w:rsid w:val="56864126"/>
    <w:rsid w:val="568B671B"/>
    <w:rsid w:val="569F2C51"/>
    <w:rsid w:val="56B04C57"/>
    <w:rsid w:val="56B06451"/>
    <w:rsid w:val="56CA2C70"/>
    <w:rsid w:val="56D940B3"/>
    <w:rsid w:val="56FB59B6"/>
    <w:rsid w:val="571C5EBE"/>
    <w:rsid w:val="5736171F"/>
    <w:rsid w:val="578134F3"/>
    <w:rsid w:val="57BB18DF"/>
    <w:rsid w:val="57F8278E"/>
    <w:rsid w:val="57FD0F8A"/>
    <w:rsid w:val="57FD4009"/>
    <w:rsid w:val="58224C41"/>
    <w:rsid w:val="58285F20"/>
    <w:rsid w:val="58347B3D"/>
    <w:rsid w:val="5847090E"/>
    <w:rsid w:val="585E6F48"/>
    <w:rsid w:val="588D62AA"/>
    <w:rsid w:val="591178AB"/>
    <w:rsid w:val="59432861"/>
    <w:rsid w:val="5967494F"/>
    <w:rsid w:val="596762F4"/>
    <w:rsid w:val="59E2554F"/>
    <w:rsid w:val="5A42017C"/>
    <w:rsid w:val="5A49331C"/>
    <w:rsid w:val="5A8C7C57"/>
    <w:rsid w:val="5A904C9B"/>
    <w:rsid w:val="5A9B25B7"/>
    <w:rsid w:val="5A9C6133"/>
    <w:rsid w:val="5AE22B8C"/>
    <w:rsid w:val="5B07330A"/>
    <w:rsid w:val="5B1A4832"/>
    <w:rsid w:val="5B1C6968"/>
    <w:rsid w:val="5BCC5CC5"/>
    <w:rsid w:val="5BE23AD3"/>
    <w:rsid w:val="5C191B8F"/>
    <w:rsid w:val="5C390E4D"/>
    <w:rsid w:val="5C552D4A"/>
    <w:rsid w:val="5C7A176E"/>
    <w:rsid w:val="5CA602AE"/>
    <w:rsid w:val="5CB56065"/>
    <w:rsid w:val="5CBD67F0"/>
    <w:rsid w:val="5CC54E45"/>
    <w:rsid w:val="5CF36B85"/>
    <w:rsid w:val="5D206A24"/>
    <w:rsid w:val="5D313AA6"/>
    <w:rsid w:val="5D3C3029"/>
    <w:rsid w:val="5DFA3CF6"/>
    <w:rsid w:val="5E0D0C04"/>
    <w:rsid w:val="5E3830C1"/>
    <w:rsid w:val="5E4A34A6"/>
    <w:rsid w:val="5E4B3E9B"/>
    <w:rsid w:val="5E505EC2"/>
    <w:rsid w:val="5E6555FA"/>
    <w:rsid w:val="5E884935"/>
    <w:rsid w:val="5E982E57"/>
    <w:rsid w:val="5EC503BA"/>
    <w:rsid w:val="5EDB4971"/>
    <w:rsid w:val="5EDD0495"/>
    <w:rsid w:val="5EF73612"/>
    <w:rsid w:val="5F2F5E14"/>
    <w:rsid w:val="5F6D4968"/>
    <w:rsid w:val="5F876DC3"/>
    <w:rsid w:val="60057A18"/>
    <w:rsid w:val="6018148F"/>
    <w:rsid w:val="606E09D8"/>
    <w:rsid w:val="6076247B"/>
    <w:rsid w:val="60DD2FF8"/>
    <w:rsid w:val="60FC1B85"/>
    <w:rsid w:val="612F5AF6"/>
    <w:rsid w:val="619D21FC"/>
    <w:rsid w:val="61A61EE8"/>
    <w:rsid w:val="61E8746E"/>
    <w:rsid w:val="61F84A78"/>
    <w:rsid w:val="61F86185"/>
    <w:rsid w:val="62404985"/>
    <w:rsid w:val="62744E2C"/>
    <w:rsid w:val="62903E6C"/>
    <w:rsid w:val="629F0255"/>
    <w:rsid w:val="62D963F8"/>
    <w:rsid w:val="62F86943"/>
    <w:rsid w:val="637213E3"/>
    <w:rsid w:val="63A940CB"/>
    <w:rsid w:val="63EE54FD"/>
    <w:rsid w:val="63EF4305"/>
    <w:rsid w:val="64625CD3"/>
    <w:rsid w:val="64812748"/>
    <w:rsid w:val="6494083C"/>
    <w:rsid w:val="64A7727B"/>
    <w:rsid w:val="64C05B46"/>
    <w:rsid w:val="64CB7581"/>
    <w:rsid w:val="64D93FD0"/>
    <w:rsid w:val="64F0316F"/>
    <w:rsid w:val="65012E0F"/>
    <w:rsid w:val="6539519E"/>
    <w:rsid w:val="653C6E80"/>
    <w:rsid w:val="65446F92"/>
    <w:rsid w:val="654F622F"/>
    <w:rsid w:val="65AB6A84"/>
    <w:rsid w:val="65B978B1"/>
    <w:rsid w:val="65CE2AC5"/>
    <w:rsid w:val="65DC1036"/>
    <w:rsid w:val="65F119CA"/>
    <w:rsid w:val="65FB0C94"/>
    <w:rsid w:val="662043B1"/>
    <w:rsid w:val="66281136"/>
    <w:rsid w:val="665A3FFE"/>
    <w:rsid w:val="66804823"/>
    <w:rsid w:val="6693780D"/>
    <w:rsid w:val="66B22811"/>
    <w:rsid w:val="66B455EB"/>
    <w:rsid w:val="66E1512B"/>
    <w:rsid w:val="67845028"/>
    <w:rsid w:val="67AA42F4"/>
    <w:rsid w:val="67B22AFA"/>
    <w:rsid w:val="67BD6434"/>
    <w:rsid w:val="680750A8"/>
    <w:rsid w:val="683A635A"/>
    <w:rsid w:val="683B25FB"/>
    <w:rsid w:val="683F0B69"/>
    <w:rsid w:val="684D0814"/>
    <w:rsid w:val="687E0EBD"/>
    <w:rsid w:val="68921377"/>
    <w:rsid w:val="68F83F8A"/>
    <w:rsid w:val="69116CD8"/>
    <w:rsid w:val="6916116C"/>
    <w:rsid w:val="69310430"/>
    <w:rsid w:val="69317644"/>
    <w:rsid w:val="69753107"/>
    <w:rsid w:val="69882863"/>
    <w:rsid w:val="69A32B47"/>
    <w:rsid w:val="69A90245"/>
    <w:rsid w:val="69B82503"/>
    <w:rsid w:val="69C367AC"/>
    <w:rsid w:val="69E16B44"/>
    <w:rsid w:val="6A30168D"/>
    <w:rsid w:val="6A8E424A"/>
    <w:rsid w:val="6A9B6C19"/>
    <w:rsid w:val="6A9D08B9"/>
    <w:rsid w:val="6AA12280"/>
    <w:rsid w:val="6AC13BEB"/>
    <w:rsid w:val="6AD206C4"/>
    <w:rsid w:val="6AFF6F01"/>
    <w:rsid w:val="6B06441C"/>
    <w:rsid w:val="6B550C0D"/>
    <w:rsid w:val="6B963183"/>
    <w:rsid w:val="6BDF422F"/>
    <w:rsid w:val="6BEE4A5F"/>
    <w:rsid w:val="6BFE6B53"/>
    <w:rsid w:val="6C1C3F5F"/>
    <w:rsid w:val="6C7657BB"/>
    <w:rsid w:val="6C7C15FD"/>
    <w:rsid w:val="6CA3779E"/>
    <w:rsid w:val="6CC35C9A"/>
    <w:rsid w:val="6CDA5646"/>
    <w:rsid w:val="6CF15AD1"/>
    <w:rsid w:val="6D144525"/>
    <w:rsid w:val="6D3A10EC"/>
    <w:rsid w:val="6D3F2832"/>
    <w:rsid w:val="6D46783C"/>
    <w:rsid w:val="6D5F487D"/>
    <w:rsid w:val="6D843A25"/>
    <w:rsid w:val="6D904C91"/>
    <w:rsid w:val="6D9D1F2B"/>
    <w:rsid w:val="6DD215FA"/>
    <w:rsid w:val="6DF63706"/>
    <w:rsid w:val="6E374EB9"/>
    <w:rsid w:val="6E3D07CF"/>
    <w:rsid w:val="6E70281A"/>
    <w:rsid w:val="6E9400FF"/>
    <w:rsid w:val="6EA94F76"/>
    <w:rsid w:val="6F2C6300"/>
    <w:rsid w:val="6F476511"/>
    <w:rsid w:val="6F847B92"/>
    <w:rsid w:val="6F886EEA"/>
    <w:rsid w:val="6FAA5CBA"/>
    <w:rsid w:val="6FCC59B9"/>
    <w:rsid w:val="6FDA1D33"/>
    <w:rsid w:val="6FE97543"/>
    <w:rsid w:val="6FF03021"/>
    <w:rsid w:val="70327608"/>
    <w:rsid w:val="7094547B"/>
    <w:rsid w:val="70BF7592"/>
    <w:rsid w:val="70D434B8"/>
    <w:rsid w:val="70E04B3B"/>
    <w:rsid w:val="70E41F7E"/>
    <w:rsid w:val="712C6777"/>
    <w:rsid w:val="7132201B"/>
    <w:rsid w:val="71586EFC"/>
    <w:rsid w:val="71774059"/>
    <w:rsid w:val="717A14C4"/>
    <w:rsid w:val="71B327A7"/>
    <w:rsid w:val="71BD5B09"/>
    <w:rsid w:val="72104263"/>
    <w:rsid w:val="72110825"/>
    <w:rsid w:val="72152515"/>
    <w:rsid w:val="725647F7"/>
    <w:rsid w:val="72973B66"/>
    <w:rsid w:val="72FE67B0"/>
    <w:rsid w:val="73007244"/>
    <w:rsid w:val="730B06DD"/>
    <w:rsid w:val="73270892"/>
    <w:rsid w:val="732C7C3B"/>
    <w:rsid w:val="7354144D"/>
    <w:rsid w:val="737C3F52"/>
    <w:rsid w:val="73E86263"/>
    <w:rsid w:val="743C562B"/>
    <w:rsid w:val="74A30595"/>
    <w:rsid w:val="74C41D07"/>
    <w:rsid w:val="74DB6768"/>
    <w:rsid w:val="74E74006"/>
    <w:rsid w:val="75397DB8"/>
    <w:rsid w:val="75476D2B"/>
    <w:rsid w:val="754E74F2"/>
    <w:rsid w:val="755A0D03"/>
    <w:rsid w:val="756E6D49"/>
    <w:rsid w:val="75716E9D"/>
    <w:rsid w:val="75B17B63"/>
    <w:rsid w:val="75C2737B"/>
    <w:rsid w:val="75C51F45"/>
    <w:rsid w:val="75E02AB2"/>
    <w:rsid w:val="76BD355E"/>
    <w:rsid w:val="76DE2973"/>
    <w:rsid w:val="7705577F"/>
    <w:rsid w:val="772F27E9"/>
    <w:rsid w:val="774C6B42"/>
    <w:rsid w:val="776210E8"/>
    <w:rsid w:val="77BF189B"/>
    <w:rsid w:val="77E63166"/>
    <w:rsid w:val="77FA0B16"/>
    <w:rsid w:val="78023C25"/>
    <w:rsid w:val="78063B4D"/>
    <w:rsid w:val="780C221E"/>
    <w:rsid w:val="78143789"/>
    <w:rsid w:val="78235CC5"/>
    <w:rsid w:val="78455CE7"/>
    <w:rsid w:val="786559B4"/>
    <w:rsid w:val="78793ABC"/>
    <w:rsid w:val="78C37022"/>
    <w:rsid w:val="78EF3C6D"/>
    <w:rsid w:val="79071E39"/>
    <w:rsid w:val="791D5D2E"/>
    <w:rsid w:val="794B6282"/>
    <w:rsid w:val="79506DA9"/>
    <w:rsid w:val="79605C47"/>
    <w:rsid w:val="797C09EF"/>
    <w:rsid w:val="79802E7F"/>
    <w:rsid w:val="79912D22"/>
    <w:rsid w:val="79CA25F5"/>
    <w:rsid w:val="7A013361"/>
    <w:rsid w:val="7A553F75"/>
    <w:rsid w:val="7A5965C4"/>
    <w:rsid w:val="7A8A28DD"/>
    <w:rsid w:val="7A91224A"/>
    <w:rsid w:val="7A927709"/>
    <w:rsid w:val="7AD7258E"/>
    <w:rsid w:val="7B1B6F14"/>
    <w:rsid w:val="7B2142C3"/>
    <w:rsid w:val="7B4721BF"/>
    <w:rsid w:val="7B6948BF"/>
    <w:rsid w:val="7BB9587A"/>
    <w:rsid w:val="7BED5934"/>
    <w:rsid w:val="7C0D7511"/>
    <w:rsid w:val="7C4F1FD9"/>
    <w:rsid w:val="7C7A5E58"/>
    <w:rsid w:val="7C833AAB"/>
    <w:rsid w:val="7CBA40CA"/>
    <w:rsid w:val="7D142A58"/>
    <w:rsid w:val="7D3D1333"/>
    <w:rsid w:val="7D4A702C"/>
    <w:rsid w:val="7D4D0E64"/>
    <w:rsid w:val="7D7D623B"/>
    <w:rsid w:val="7D964300"/>
    <w:rsid w:val="7DB967D4"/>
    <w:rsid w:val="7DE824ED"/>
    <w:rsid w:val="7E6B72E2"/>
    <w:rsid w:val="7EBB1D7B"/>
    <w:rsid w:val="7EC54F0F"/>
    <w:rsid w:val="7EDF4A96"/>
    <w:rsid w:val="7EE7015E"/>
    <w:rsid w:val="7EF01078"/>
    <w:rsid w:val="7F0E15D5"/>
    <w:rsid w:val="7F89494B"/>
    <w:rsid w:val="7FAD5E78"/>
    <w:rsid w:val="7FBA5A81"/>
    <w:rsid w:val="7FBE068F"/>
    <w:rsid w:val="7FD9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9"/>
    <w:qFormat/>
    <w:uiPriority w:val="0"/>
    <w:pPr>
      <w:keepNext/>
      <w:keepLines/>
      <w:spacing w:before="240" w:after="240"/>
      <w:ind w:firstLine="0" w:firstLineChars="0"/>
      <w:jc w:val="left"/>
      <w:outlineLvl w:val="0"/>
    </w:pPr>
    <w:rPr>
      <w:rFonts w:eastAsia="黑体"/>
      <w:b/>
      <w:bCs/>
      <w:kern w:val="44"/>
      <w:sz w:val="36"/>
      <w:szCs w:val="44"/>
    </w:rPr>
  </w:style>
  <w:style w:type="paragraph" w:styleId="4">
    <w:name w:val="heading 2"/>
    <w:basedOn w:val="1"/>
    <w:next w:val="1"/>
    <w:link w:val="17"/>
    <w:unhideWhenUsed/>
    <w:qFormat/>
    <w:uiPriority w:val="0"/>
    <w:pPr>
      <w:keepNext/>
      <w:keepLines/>
      <w:spacing w:beforeLines="50" w:afterLines="50"/>
      <w:ind w:firstLine="0" w:firstLineChars="0"/>
      <w:jc w:val="left"/>
      <w:outlineLvl w:val="1"/>
    </w:pPr>
    <w:rPr>
      <w:rFonts w:ascii="仿宋" w:hAnsi="仿宋"/>
      <w:b/>
      <w:bCs/>
      <w:sz w:val="32"/>
      <w:szCs w:val="32"/>
    </w:rPr>
  </w:style>
  <w:style w:type="paragraph" w:styleId="5">
    <w:name w:val="heading 3"/>
    <w:basedOn w:val="1"/>
    <w:next w:val="1"/>
    <w:link w:val="18"/>
    <w:unhideWhenUsed/>
    <w:qFormat/>
    <w:uiPriority w:val="0"/>
    <w:pPr>
      <w:keepNext/>
      <w:keepLines/>
      <w:spacing w:before="120" w:after="120"/>
      <w:jc w:val="left"/>
      <w:outlineLvl w:val="2"/>
    </w:pPr>
    <w:rPr>
      <w:b/>
      <w:bCs/>
      <w:szCs w:val="32"/>
    </w:rPr>
  </w:style>
  <w:style w:type="paragraph" w:styleId="6">
    <w:name w:val="heading 4"/>
    <w:basedOn w:val="1"/>
    <w:next w:val="1"/>
    <w:unhideWhenUsed/>
    <w:qFormat/>
    <w:uiPriority w:val="0"/>
    <w:pPr>
      <w:keepNext/>
      <w:keepLines/>
      <w:spacing w:beforeLines="0" w:beforeAutospacing="0" w:afterLines="0" w:afterAutospacing="0" w:line="360" w:lineRule="auto"/>
      <w:outlineLvl w:val="3"/>
    </w:pPr>
    <w:rPr>
      <w:rFonts w:ascii="Arial" w:hAnsi="Arial" w:eastAsia="宋体" w:cs="Times New Roman"/>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qFormat/>
    <w:uiPriority w:val="0"/>
    <w:rPr>
      <w:sz w:val="24"/>
    </w:rPr>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标题 2 Char"/>
    <w:link w:val="4"/>
    <w:qFormat/>
    <w:uiPriority w:val="0"/>
    <w:rPr>
      <w:rFonts w:ascii="仿宋" w:hAnsi="仿宋" w:eastAsia="宋体" w:cs="Times New Roman"/>
      <w:b/>
      <w:bCs/>
      <w:sz w:val="32"/>
      <w:szCs w:val="32"/>
    </w:rPr>
  </w:style>
  <w:style w:type="character" w:customStyle="1" w:styleId="18">
    <w:name w:val="标题 3 Char"/>
    <w:link w:val="5"/>
    <w:qFormat/>
    <w:uiPriority w:val="0"/>
    <w:rPr>
      <w:b/>
      <w:bCs/>
      <w:szCs w:val="32"/>
    </w:rPr>
  </w:style>
  <w:style w:type="character" w:customStyle="1" w:styleId="19">
    <w:name w:val="标题 1 Char"/>
    <w:link w:val="3"/>
    <w:qFormat/>
    <w:uiPriority w:val="0"/>
    <w:rPr>
      <w:rFonts w:ascii="Times New Roman" w:hAnsi="Times New Roman" w:eastAsia="黑体" w:cs="Times New Roman"/>
      <w:b/>
      <w:bCs/>
      <w:kern w:val="44"/>
      <w:sz w:val="36"/>
      <w:szCs w:val="44"/>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WPSOffice手动目录 2"/>
    <w:qFormat/>
    <w:uiPriority w:val="0"/>
    <w:pPr>
      <w:ind w:left="200" w:leftChars="200"/>
    </w:pPr>
    <w:rPr>
      <w:rFonts w:ascii="Calibri" w:hAnsi="Calibri" w:eastAsia="宋体" w:cs="Times New Roman"/>
      <w:lang w:val="en-US" w:eastAsia="zh-CN" w:bidi="ar-SA"/>
    </w:rPr>
  </w:style>
  <w:style w:type="paragraph" w:customStyle="1" w:styleId="22">
    <w:name w:val="WPSOffice手动目录 3"/>
    <w:qFormat/>
    <w:uiPriority w:val="0"/>
    <w:pPr>
      <w:ind w:left="400" w:leftChars="400"/>
    </w:pPr>
    <w:rPr>
      <w:rFonts w:ascii="Calibri" w:hAnsi="Calibri" w:eastAsia="宋体" w:cs="Times New Roman"/>
      <w:lang w:val="en-US" w:eastAsia="zh-CN" w:bidi="ar-SA"/>
    </w:rPr>
  </w:style>
  <w:style w:type="table" w:customStyle="1" w:styleId="23">
    <w:name w:val="网格型3"/>
    <w:basedOn w:val="14"/>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8863</Words>
  <Characters>9291</Characters>
  <Lines>83</Lines>
  <Paragraphs>23</Paragraphs>
  <TotalTime>0</TotalTime>
  <ScaleCrop>false</ScaleCrop>
  <LinksUpToDate>false</LinksUpToDate>
  <CharactersWithSpaces>9813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2020-05-26T02:56:00Z</dcterms:created>
  <dc:creator>JXB</dc:creator>
  <cp:lastModifiedBy>N.ever</cp:lastModifiedBy>
  <cp:lastPrinted>2020-08-25T07:06:00Z</cp:lastPrinted>
  <dcterms:modified xsi:type="dcterms:W3CDTF">2021-08-16T00:43:52Z</dcterms:modified>
  <dc:title>项目支出绩效评价报告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0881BA568CF64ED6B459816729D8668F</vt:lpwstr>
  </property>
</Properties>
</file>