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宋体" w:hAnsi="宋体" w:cs="Arial"/>
          <w:b/>
          <w:bCs/>
          <w:sz w:val="36"/>
          <w:szCs w:val="36"/>
        </w:rPr>
      </w:pPr>
      <w:r>
        <w:rPr>
          <w:rFonts w:hint="eastAsia" w:ascii="宋体" w:hAnsi="宋体" w:cs="Arial"/>
          <w:b/>
          <w:bCs/>
          <w:szCs w:val="28"/>
        </w:rPr>
        <w:t xml:space="preserve">              </w:t>
      </w:r>
    </w:p>
    <w:p>
      <w:pPr>
        <w:ind w:firstLine="0" w:firstLineChars="0"/>
        <w:jc w:val="center"/>
        <w:rPr>
          <w:rFonts w:hint="eastAsia" w:ascii="宋体" w:hAnsi="宋体" w:cs="Arial"/>
          <w:b/>
          <w:bCs/>
          <w:sz w:val="36"/>
          <w:szCs w:val="36"/>
        </w:rPr>
      </w:pPr>
      <w:r>
        <w:rPr>
          <w:rFonts w:hint="eastAsia" w:ascii="宋体" w:hAnsi="宋体" w:cs="Arial"/>
          <w:b/>
          <w:bCs/>
          <w:sz w:val="36"/>
          <w:szCs w:val="36"/>
        </w:rPr>
        <w:t xml:space="preserve">     项目支出绩效评价报告</w:t>
      </w:r>
    </w:p>
    <w:p>
      <w:pPr>
        <w:ind w:firstLine="0" w:firstLineChars="0"/>
        <w:jc w:val="center"/>
        <w:rPr>
          <w:rFonts w:hint="eastAsia" w:ascii="宋体" w:hAnsi="宋体" w:eastAsia="宋体" w:cs="Arial"/>
          <w:b/>
          <w:bCs/>
          <w:sz w:val="36"/>
          <w:szCs w:val="36"/>
          <w:lang w:eastAsia="zh-CN"/>
        </w:rPr>
      </w:pPr>
      <w:r>
        <w:rPr>
          <w:rFonts w:hint="eastAsia" w:ascii="宋体" w:hAnsi="宋体" w:cs="Arial"/>
          <w:b/>
          <w:bCs/>
          <w:sz w:val="36"/>
          <w:szCs w:val="36"/>
          <w:lang w:val="en-US" w:eastAsia="zh-CN"/>
        </w:rPr>
        <w:t xml:space="preserve"> </w:t>
      </w:r>
    </w:p>
    <w:p>
      <w:pPr>
        <w:ind w:firstLine="723"/>
        <w:rPr>
          <w:rFonts w:ascii="宋体" w:hAnsi="宋体" w:cs="Arial"/>
          <w:b/>
          <w:bCs/>
          <w:sz w:val="36"/>
          <w:szCs w:val="36"/>
        </w:rPr>
      </w:pPr>
    </w:p>
    <w:p>
      <w:pPr>
        <w:spacing w:line="600" w:lineRule="exact"/>
        <w:ind w:firstLine="0" w:firstLineChars="0"/>
        <w:rPr>
          <w:rFonts w:ascii="黑体" w:hAnsi="黑体" w:eastAsia="黑体" w:cs="黑体"/>
          <w:sz w:val="36"/>
          <w:szCs w:val="36"/>
          <w:u w:val="single"/>
        </w:rPr>
      </w:pPr>
      <w:r>
        <w:rPr>
          <w:rFonts w:hint="eastAsia" w:ascii="宋体" w:hAnsi="宋体" w:cs="Arial"/>
          <w:b/>
          <w:bCs/>
          <w:sz w:val="36"/>
          <w:szCs w:val="36"/>
        </w:rPr>
        <w:t>项目名称：</w:t>
      </w:r>
      <w:r>
        <w:rPr>
          <w:rFonts w:hint="eastAsia" w:ascii="宋体" w:hAnsi="宋体" w:cs="Arial"/>
          <w:b/>
          <w:bCs/>
          <w:sz w:val="36"/>
          <w:szCs w:val="36"/>
          <w:u w:val="single"/>
        </w:rPr>
        <w:t xml:space="preserve">   </w:t>
      </w:r>
      <w:r>
        <w:rPr>
          <w:rFonts w:hint="eastAsia" w:ascii="宋体" w:hAnsi="宋体" w:cs="Arial"/>
          <w:b/>
          <w:bCs/>
          <w:sz w:val="36"/>
          <w:szCs w:val="36"/>
          <w:u w:val="single"/>
          <w:lang w:val="en-US" w:eastAsia="zh-CN"/>
        </w:rPr>
        <w:t xml:space="preserve">       食安城建设项目</w:t>
      </w:r>
      <w:r>
        <w:rPr>
          <w:rFonts w:hint="eastAsia" w:ascii="黑体" w:hAnsi="黑体" w:eastAsia="黑体" w:cs="黑体"/>
          <w:sz w:val="36"/>
          <w:szCs w:val="36"/>
          <w:u w:val="single"/>
        </w:rPr>
        <w:t xml:space="preserve">     </w:t>
      </w:r>
      <w:r>
        <w:rPr>
          <w:rFonts w:hint="eastAsia" w:ascii="黑体" w:hAnsi="黑体" w:eastAsia="黑体" w:cs="黑体"/>
          <w:sz w:val="36"/>
          <w:szCs w:val="36"/>
          <w:u w:val="single"/>
          <w:lang w:val="en-US" w:eastAsia="zh-CN"/>
        </w:rPr>
        <w:t xml:space="preserve"> </w:t>
      </w:r>
      <w:r>
        <w:rPr>
          <w:rFonts w:hint="eastAsia" w:ascii="黑体" w:hAnsi="黑体" w:eastAsia="黑体" w:cs="黑体"/>
          <w:sz w:val="36"/>
          <w:szCs w:val="36"/>
          <w:u w:val="single"/>
        </w:rPr>
        <w:t xml:space="preserve">         </w:t>
      </w:r>
    </w:p>
    <w:p>
      <w:pPr>
        <w:pStyle w:val="6"/>
        <w:ind w:firstLine="560"/>
      </w:pPr>
    </w:p>
    <w:p>
      <w:pPr>
        <w:spacing w:line="600" w:lineRule="exact"/>
        <w:ind w:firstLine="0" w:firstLineChars="0"/>
        <w:rPr>
          <w:rFonts w:ascii="宋体" w:hAnsi="宋体" w:cs="Arial"/>
          <w:b/>
          <w:bCs/>
          <w:sz w:val="36"/>
          <w:szCs w:val="36"/>
        </w:rPr>
      </w:pPr>
      <w:r>
        <w:rPr>
          <w:rFonts w:hint="eastAsia" w:ascii="宋体" w:hAnsi="宋体" w:cs="Arial"/>
          <w:b/>
          <w:bCs/>
          <w:sz w:val="36"/>
          <w:szCs w:val="36"/>
        </w:rPr>
        <w:t>项目类别：</w:t>
      </w:r>
      <w:r>
        <w:rPr>
          <w:rFonts w:hint="eastAsia" w:ascii="黑体" w:hAnsi="黑体" w:eastAsia="黑体" w:cs="黑体"/>
          <w:b/>
          <w:bCs/>
          <w:sz w:val="36"/>
          <w:szCs w:val="36"/>
          <w:u w:val="single"/>
        </w:rPr>
        <w:t xml:space="preserve"> </w:t>
      </w:r>
      <w:r>
        <w:rPr>
          <w:rFonts w:hint="eastAsia" w:ascii="宋体" w:hAnsi="宋体" w:cs="宋体"/>
          <w:b/>
          <w:bCs/>
          <w:sz w:val="36"/>
          <w:szCs w:val="36"/>
          <w:u w:val="single"/>
        </w:rPr>
        <w:t xml:space="preserve"> </w:t>
      </w:r>
      <w:r>
        <w:rPr>
          <w:rFonts w:hint="eastAsia" w:ascii="宋体" w:hAnsi="宋体" w:cs="宋体"/>
          <w:sz w:val="36"/>
          <w:szCs w:val="36"/>
          <w:u w:val="single"/>
        </w:rPr>
        <w:t xml:space="preserve"> </w:t>
      </w:r>
      <w:r>
        <w:rPr>
          <w:rFonts w:hint="eastAsia" w:ascii="宋体" w:hAnsi="宋体" w:cs="宋体"/>
          <w:b/>
          <w:bCs/>
          <w:sz w:val="36"/>
          <w:szCs w:val="36"/>
          <w:u w:val="single"/>
        </w:rPr>
        <w:t xml:space="preserve">     </w:t>
      </w:r>
      <w:r>
        <w:rPr>
          <w:rFonts w:hint="eastAsia" w:ascii="黑体" w:hAnsi="黑体" w:eastAsia="黑体" w:cs="黑体"/>
          <w:b/>
          <w:bCs/>
          <w:sz w:val="36"/>
          <w:szCs w:val="36"/>
          <w:u w:val="single"/>
        </w:rPr>
        <w:t xml:space="preserve">  </w:t>
      </w:r>
      <w:r>
        <w:rPr>
          <w:rFonts w:hint="eastAsia" w:ascii="宋体" w:hAnsi="宋体" w:cs="宋体"/>
          <w:b/>
          <w:bCs/>
          <w:sz w:val="36"/>
          <w:szCs w:val="36"/>
          <w:u w:val="single"/>
        </w:rPr>
        <w:t xml:space="preserve"> </w:t>
      </w:r>
      <w:r>
        <w:rPr>
          <w:rFonts w:hint="eastAsia" w:ascii="宋体" w:hAnsi="宋体" w:cs="宋体"/>
          <w:b/>
          <w:bCs/>
          <w:sz w:val="36"/>
          <w:szCs w:val="36"/>
          <w:u w:val="single"/>
          <w:lang w:val="en-US" w:eastAsia="zh-CN"/>
        </w:rPr>
        <w:t xml:space="preserve"> 社会发展</w:t>
      </w:r>
      <w:r>
        <w:rPr>
          <w:rFonts w:hint="eastAsia" w:ascii="宋体" w:hAnsi="宋体" w:cs="宋体"/>
          <w:b/>
          <w:bCs/>
          <w:sz w:val="36"/>
          <w:szCs w:val="36"/>
          <w:u w:val="single"/>
        </w:rPr>
        <w:t xml:space="preserve">类 </w:t>
      </w:r>
      <w:r>
        <w:rPr>
          <w:rFonts w:hint="eastAsia" w:ascii="黑体" w:hAnsi="黑体" w:eastAsia="黑体" w:cs="黑体"/>
          <w:b/>
          <w:bCs/>
          <w:sz w:val="36"/>
          <w:szCs w:val="36"/>
          <w:u w:val="single"/>
        </w:rPr>
        <w:t xml:space="preserve">                             </w:t>
      </w:r>
    </w:p>
    <w:p>
      <w:pPr>
        <w:spacing w:line="600" w:lineRule="exact"/>
        <w:ind w:firstLine="0" w:firstLineChars="0"/>
        <w:rPr>
          <w:rFonts w:ascii="宋体" w:hAnsi="宋体" w:cs="Arial"/>
          <w:b/>
          <w:bCs/>
          <w:sz w:val="36"/>
          <w:szCs w:val="36"/>
        </w:rPr>
      </w:pPr>
    </w:p>
    <w:p>
      <w:pPr>
        <w:spacing w:line="600" w:lineRule="exact"/>
        <w:ind w:firstLine="0" w:firstLineChars="0"/>
        <w:rPr>
          <w:rFonts w:ascii="宋体" w:hAnsi="宋体" w:cs="Arial"/>
          <w:b/>
          <w:bCs/>
          <w:sz w:val="36"/>
          <w:szCs w:val="36"/>
        </w:rPr>
      </w:pPr>
      <w:r>
        <w:rPr>
          <w:rFonts w:hint="eastAsia" w:ascii="宋体" w:hAnsi="宋体" w:cs="Arial"/>
          <w:b/>
          <w:bCs/>
          <w:sz w:val="36"/>
          <w:szCs w:val="36"/>
        </w:rPr>
        <w:t>实施单位：</w:t>
      </w:r>
      <w:r>
        <w:rPr>
          <w:rFonts w:hint="eastAsia" w:ascii="黑体" w:hAnsi="黑体" w:eastAsia="黑体" w:cs="黑体"/>
          <w:b/>
          <w:bCs/>
          <w:sz w:val="36"/>
          <w:szCs w:val="36"/>
          <w:u w:val="single"/>
        </w:rPr>
        <w:t xml:space="preserve">  </w:t>
      </w:r>
      <w:r>
        <w:rPr>
          <w:rFonts w:hint="eastAsia" w:ascii="宋体" w:hAnsi="宋体" w:cs="宋体"/>
          <w:b/>
          <w:bCs/>
          <w:sz w:val="36"/>
          <w:szCs w:val="36"/>
          <w:u w:val="single"/>
        </w:rPr>
        <w:t xml:space="preserve"> </w:t>
      </w:r>
      <w:r>
        <w:rPr>
          <w:rFonts w:hint="eastAsia" w:ascii="宋体" w:hAnsi="宋体" w:cs="宋体"/>
          <w:b/>
          <w:bCs/>
          <w:sz w:val="36"/>
          <w:szCs w:val="36"/>
          <w:u w:val="single"/>
          <w:lang w:val="en-US" w:eastAsia="zh-CN"/>
        </w:rPr>
        <w:t xml:space="preserve">     东湖区市场监督管理局</w:t>
      </w:r>
      <w:r>
        <w:rPr>
          <w:rFonts w:hint="eastAsia" w:ascii="宋体" w:hAnsi="宋体" w:cs="宋体"/>
          <w:b/>
          <w:bCs/>
          <w:sz w:val="36"/>
          <w:szCs w:val="36"/>
          <w:u w:val="single"/>
        </w:rPr>
        <w:t xml:space="preserve">   </w:t>
      </w:r>
      <w:r>
        <w:rPr>
          <w:rFonts w:hint="eastAsia" w:ascii="黑体" w:hAnsi="黑体" w:eastAsia="黑体" w:cs="黑体"/>
          <w:b/>
          <w:bCs/>
          <w:sz w:val="36"/>
          <w:szCs w:val="36"/>
          <w:u w:val="single"/>
        </w:rPr>
        <w:t xml:space="preserve">                            </w:t>
      </w:r>
    </w:p>
    <w:p>
      <w:pPr>
        <w:spacing w:line="600" w:lineRule="exact"/>
        <w:ind w:firstLine="0" w:firstLineChars="0"/>
        <w:rPr>
          <w:rFonts w:ascii="宋体" w:hAnsi="宋体" w:cs="Arial"/>
          <w:b/>
          <w:bCs/>
          <w:sz w:val="36"/>
          <w:szCs w:val="36"/>
        </w:rPr>
      </w:pPr>
    </w:p>
    <w:p>
      <w:pPr>
        <w:spacing w:line="600" w:lineRule="exact"/>
        <w:ind w:firstLine="0" w:firstLineChars="0"/>
        <w:rPr>
          <w:rFonts w:ascii="宋体" w:hAnsi="宋体" w:cs="Arial"/>
          <w:b/>
          <w:bCs/>
          <w:sz w:val="36"/>
          <w:szCs w:val="36"/>
          <w:u w:val="single"/>
        </w:rPr>
      </w:pPr>
      <w:r>
        <w:rPr>
          <w:rFonts w:hint="eastAsia" w:ascii="宋体" w:hAnsi="宋体" w:cs="Arial"/>
          <w:b/>
          <w:bCs/>
          <w:sz w:val="36"/>
          <w:szCs w:val="36"/>
        </w:rPr>
        <w:t>主管部门：</w:t>
      </w:r>
      <w:r>
        <w:rPr>
          <w:rFonts w:hint="eastAsia" w:ascii="宋体" w:hAnsi="宋体" w:cs="Arial"/>
          <w:b/>
          <w:bCs/>
          <w:sz w:val="36"/>
          <w:szCs w:val="36"/>
          <w:u w:val="single"/>
        </w:rPr>
        <w:t xml:space="preserve">    </w:t>
      </w:r>
      <w:r>
        <w:rPr>
          <w:rFonts w:hint="eastAsia" w:ascii="宋体" w:hAnsi="宋体" w:cs="宋体"/>
          <w:b/>
          <w:bCs/>
          <w:sz w:val="36"/>
          <w:szCs w:val="36"/>
          <w:u w:val="single"/>
          <w:lang w:val="en-US" w:eastAsia="zh-CN"/>
        </w:rPr>
        <w:t xml:space="preserve">    东湖区市场监督管理局    </w:t>
      </w:r>
      <w:r>
        <w:rPr>
          <w:rFonts w:hint="eastAsia" w:ascii="黑体" w:hAnsi="黑体" w:eastAsia="黑体" w:cs="黑体"/>
          <w:b/>
          <w:bCs/>
          <w:sz w:val="36"/>
          <w:szCs w:val="36"/>
          <w:u w:val="single"/>
        </w:rPr>
        <w:t>（盖章）</w:t>
      </w:r>
      <w:r>
        <w:rPr>
          <w:rFonts w:hint="eastAsia" w:ascii="宋体" w:hAnsi="宋体" w:cs="Arial"/>
          <w:b/>
          <w:bCs/>
          <w:sz w:val="36"/>
          <w:szCs w:val="36"/>
          <w:u w:val="single"/>
        </w:rPr>
        <w:t xml:space="preserve">                                    </w:t>
      </w:r>
    </w:p>
    <w:p>
      <w:pPr>
        <w:pStyle w:val="6"/>
        <w:ind w:firstLine="560"/>
      </w:pPr>
    </w:p>
    <w:p>
      <w:pPr>
        <w:spacing w:line="600" w:lineRule="exact"/>
        <w:ind w:firstLine="0" w:firstLineChars="0"/>
        <w:jc w:val="left"/>
        <w:rPr>
          <w:rFonts w:ascii="宋体" w:hAnsi="宋体" w:cs="Arial"/>
          <w:b/>
          <w:bCs/>
          <w:sz w:val="36"/>
          <w:szCs w:val="36"/>
        </w:rPr>
      </w:pPr>
      <w:r>
        <w:rPr>
          <w:rFonts w:hint="eastAsia" w:ascii="宋体" w:hAnsi="宋体" w:cs="Arial"/>
          <w:b/>
          <w:bCs/>
          <w:sz w:val="36"/>
          <w:szCs w:val="36"/>
        </w:rPr>
        <w:t>评价机构：</w:t>
      </w:r>
      <w:r>
        <w:rPr>
          <w:rFonts w:hint="eastAsia" w:ascii="黑体" w:hAnsi="黑体" w:eastAsia="黑体" w:cs="黑体"/>
          <w:b/>
          <w:bCs/>
          <w:sz w:val="36"/>
          <w:szCs w:val="36"/>
          <w:u w:val="single"/>
        </w:rPr>
        <w:t xml:space="preserve">   </w:t>
      </w:r>
      <w:r>
        <w:rPr>
          <w:rFonts w:hint="eastAsia" w:ascii="黑体" w:hAnsi="黑体" w:eastAsia="黑体" w:cs="黑体"/>
          <w:b/>
          <w:bCs/>
          <w:sz w:val="36"/>
          <w:szCs w:val="36"/>
          <w:u w:val="single"/>
          <w:lang w:val="en-US" w:eastAsia="zh-CN"/>
        </w:rPr>
        <w:t xml:space="preserve"> </w:t>
      </w:r>
      <w:r>
        <w:rPr>
          <w:rFonts w:hint="eastAsia" w:ascii="宋体" w:hAnsi="宋体" w:eastAsia="宋体" w:cs="宋体"/>
          <w:b/>
          <w:bCs/>
          <w:sz w:val="36"/>
          <w:szCs w:val="36"/>
          <w:u w:val="single"/>
          <w:lang w:val="en-US" w:eastAsia="zh-CN"/>
        </w:rPr>
        <w:t>江西信达管理咨询有限公司</w:t>
      </w:r>
      <w:r>
        <w:rPr>
          <w:rFonts w:hint="eastAsia" w:ascii="黑体" w:hAnsi="黑体" w:eastAsia="黑体" w:cs="黑体"/>
          <w:b/>
          <w:bCs/>
          <w:sz w:val="36"/>
          <w:szCs w:val="36"/>
          <w:u w:val="single"/>
        </w:rPr>
        <w:t xml:space="preserve">    （盖章）</w:t>
      </w:r>
    </w:p>
    <w:p>
      <w:pPr>
        <w:spacing w:line="600" w:lineRule="exact"/>
        <w:ind w:firstLine="0" w:firstLineChars="0"/>
        <w:rPr>
          <w:rFonts w:ascii="宋体" w:hAnsi="宋体" w:cs="Arial"/>
          <w:b/>
          <w:bCs/>
          <w:sz w:val="36"/>
          <w:szCs w:val="36"/>
        </w:rPr>
      </w:pPr>
    </w:p>
    <w:p>
      <w:pPr>
        <w:spacing w:line="600" w:lineRule="exact"/>
        <w:ind w:firstLine="0" w:firstLineChars="0"/>
        <w:rPr>
          <w:rFonts w:ascii="宋体" w:hAnsi="宋体" w:cs="Arial"/>
          <w:b/>
          <w:bCs/>
          <w:sz w:val="36"/>
          <w:szCs w:val="36"/>
        </w:rPr>
      </w:pPr>
      <w:r>
        <w:rPr>
          <w:rFonts w:hint="eastAsia" w:ascii="宋体" w:hAnsi="宋体" w:cs="Arial"/>
          <w:b/>
          <w:bCs/>
          <w:sz w:val="36"/>
          <w:szCs w:val="36"/>
        </w:rPr>
        <w:t>评价年度：</w:t>
      </w:r>
      <w:r>
        <w:rPr>
          <w:rFonts w:hint="eastAsia" w:ascii="黑体" w:hAnsi="黑体" w:eastAsia="黑体" w:cs="黑体"/>
          <w:sz w:val="36"/>
          <w:szCs w:val="36"/>
          <w:u w:val="single"/>
        </w:rPr>
        <w:t xml:space="preserve">  </w:t>
      </w:r>
      <w:r>
        <w:rPr>
          <w:rFonts w:hint="eastAsia" w:ascii="黑体" w:hAnsi="黑体" w:eastAsia="黑体" w:cs="黑体"/>
          <w:b/>
          <w:bCs/>
          <w:sz w:val="36"/>
          <w:szCs w:val="36"/>
          <w:u w:val="single"/>
        </w:rPr>
        <w:t xml:space="preserve">       </w:t>
      </w:r>
      <w:r>
        <w:rPr>
          <w:rFonts w:hint="eastAsia" w:ascii="宋体" w:hAnsi="宋体" w:cs="宋体"/>
          <w:b/>
          <w:bCs/>
          <w:sz w:val="36"/>
          <w:szCs w:val="36"/>
          <w:u w:val="single"/>
        </w:rPr>
        <w:t xml:space="preserve"> </w:t>
      </w:r>
      <w:r>
        <w:rPr>
          <w:rFonts w:hint="eastAsia" w:ascii="宋体" w:hAnsi="宋体" w:cs="宋体"/>
          <w:b/>
          <w:bCs/>
          <w:sz w:val="36"/>
          <w:szCs w:val="36"/>
          <w:u w:val="single"/>
          <w:lang w:val="en-US" w:eastAsia="zh-CN"/>
        </w:rPr>
        <w:t xml:space="preserve">   2020</w:t>
      </w:r>
      <w:r>
        <w:rPr>
          <w:rFonts w:hint="eastAsia" w:ascii="宋体" w:hAnsi="宋体" w:cs="宋体"/>
          <w:b/>
          <w:bCs/>
          <w:sz w:val="36"/>
          <w:szCs w:val="36"/>
          <w:u w:val="single"/>
        </w:rPr>
        <w:t xml:space="preserve">年度   </w:t>
      </w:r>
      <w:r>
        <w:rPr>
          <w:rFonts w:hint="eastAsia" w:ascii="黑体" w:hAnsi="黑体" w:eastAsia="黑体" w:cs="黑体"/>
          <w:b/>
          <w:bCs/>
          <w:sz w:val="36"/>
          <w:szCs w:val="36"/>
          <w:u w:val="single"/>
        </w:rPr>
        <w:t xml:space="preserve">                           </w:t>
      </w:r>
    </w:p>
    <w:p>
      <w:pPr>
        <w:ind w:firstLine="723"/>
        <w:rPr>
          <w:rFonts w:ascii="宋体" w:hAnsi="宋体" w:cs="Arial"/>
          <w:b/>
          <w:bCs/>
          <w:sz w:val="36"/>
          <w:szCs w:val="36"/>
        </w:rPr>
      </w:pPr>
    </w:p>
    <w:p>
      <w:pPr>
        <w:ind w:firstLine="723"/>
        <w:jc w:val="center"/>
        <w:rPr>
          <w:rFonts w:ascii="宋体" w:hAnsi="宋体" w:cs="Arial"/>
          <w:b/>
          <w:bCs/>
          <w:sz w:val="36"/>
          <w:szCs w:val="36"/>
        </w:rPr>
      </w:pPr>
    </w:p>
    <w:p>
      <w:pPr>
        <w:ind w:firstLine="723"/>
        <w:jc w:val="center"/>
        <w:rPr>
          <w:rFonts w:ascii="宋体" w:hAnsi="宋体" w:cs="Arial"/>
          <w:b/>
          <w:bCs/>
          <w:sz w:val="36"/>
          <w:szCs w:val="36"/>
        </w:rPr>
      </w:pPr>
    </w:p>
    <w:p>
      <w:pPr>
        <w:ind w:firstLine="723"/>
        <w:jc w:val="center"/>
        <w:rPr>
          <w:rFonts w:ascii="宋体" w:hAnsi="宋体" w:cs="Arial"/>
          <w:b/>
          <w:bCs/>
          <w:sz w:val="36"/>
          <w:szCs w:val="36"/>
        </w:rPr>
      </w:pPr>
      <w:r>
        <w:rPr>
          <w:rFonts w:hint="eastAsia" w:ascii="宋体" w:hAnsi="宋体" w:cs="Arial"/>
          <w:b/>
          <w:bCs/>
          <w:sz w:val="36"/>
          <w:szCs w:val="36"/>
        </w:rPr>
        <w:t>202</w:t>
      </w:r>
      <w:r>
        <w:rPr>
          <w:rFonts w:hint="eastAsia" w:ascii="宋体" w:hAnsi="宋体" w:cs="Arial"/>
          <w:b/>
          <w:bCs/>
          <w:sz w:val="36"/>
          <w:szCs w:val="36"/>
          <w:lang w:val="en-US" w:eastAsia="zh-CN"/>
        </w:rPr>
        <w:t>1</w:t>
      </w:r>
      <w:r>
        <w:rPr>
          <w:rFonts w:hint="eastAsia" w:ascii="宋体" w:hAnsi="宋体" w:cs="Arial"/>
          <w:b/>
          <w:bCs/>
          <w:sz w:val="36"/>
          <w:szCs w:val="36"/>
        </w:rPr>
        <w:t xml:space="preserve">年 </w:t>
      </w:r>
      <w:r>
        <w:rPr>
          <w:rFonts w:hint="eastAsia" w:ascii="宋体" w:hAnsi="宋体" w:cs="Arial"/>
          <w:b/>
          <w:bCs/>
          <w:sz w:val="36"/>
          <w:szCs w:val="36"/>
          <w:lang w:val="en-US" w:eastAsia="zh-CN"/>
        </w:rPr>
        <w:t>7</w:t>
      </w:r>
      <w:r>
        <w:rPr>
          <w:rFonts w:hint="eastAsia" w:ascii="宋体" w:hAnsi="宋体" w:cs="Arial"/>
          <w:b/>
          <w:bCs/>
          <w:sz w:val="36"/>
          <w:szCs w:val="36"/>
        </w:rPr>
        <w:t xml:space="preserve"> 月 </w:t>
      </w:r>
      <w:r>
        <w:rPr>
          <w:rFonts w:hint="eastAsia" w:ascii="宋体" w:hAnsi="宋体" w:cs="Arial"/>
          <w:b/>
          <w:bCs/>
          <w:sz w:val="36"/>
          <w:szCs w:val="36"/>
          <w:lang w:val="en-US" w:eastAsia="zh-CN"/>
        </w:rPr>
        <w:t xml:space="preserve">13  </w:t>
      </w:r>
      <w:r>
        <w:rPr>
          <w:rFonts w:hint="eastAsia" w:ascii="宋体" w:hAnsi="宋体" w:cs="Arial"/>
          <w:b/>
          <w:bCs/>
          <w:sz w:val="36"/>
          <w:szCs w:val="36"/>
        </w:rPr>
        <w:t>日</w:t>
      </w:r>
    </w:p>
    <w:tbl>
      <w:tblPr>
        <w:tblStyle w:val="13"/>
        <w:tblW w:w="0" w:type="auto"/>
        <w:jc w:val="center"/>
        <w:tblLayout w:type="fixed"/>
        <w:tblCellMar>
          <w:top w:w="0" w:type="dxa"/>
          <w:left w:w="108" w:type="dxa"/>
          <w:bottom w:w="0" w:type="dxa"/>
          <w:right w:w="108" w:type="dxa"/>
        </w:tblCellMar>
      </w:tblPr>
      <w:tblGrid>
        <w:gridCol w:w="1792"/>
        <w:gridCol w:w="3102"/>
        <w:gridCol w:w="2109"/>
        <w:gridCol w:w="1645"/>
      </w:tblGrid>
      <w:tr>
        <w:tblPrEx>
          <w:tblCellMar>
            <w:top w:w="0" w:type="dxa"/>
            <w:left w:w="108" w:type="dxa"/>
            <w:bottom w:w="0" w:type="dxa"/>
            <w:right w:w="108" w:type="dxa"/>
          </w:tblCellMar>
        </w:tblPrEx>
        <w:trPr>
          <w:trHeight w:val="550" w:hRule="atLeast"/>
          <w:jc w:val="center"/>
        </w:trPr>
        <w:tc>
          <w:tcPr>
            <w:tcW w:w="8648" w:type="dxa"/>
            <w:gridSpan w:val="4"/>
            <w:tcBorders>
              <w:top w:val="single" w:color="000000" w:sz="4" w:space="0"/>
              <w:left w:val="single" w:color="000000" w:sz="4" w:space="0"/>
              <w:bottom w:val="single" w:color="000000" w:sz="4" w:space="0"/>
              <w:right w:val="single" w:color="000000" w:sz="4" w:space="0"/>
            </w:tcBorders>
            <w:vAlign w:val="center"/>
          </w:tcPr>
          <w:p>
            <w:pPr>
              <w:autoSpaceDN w:val="0"/>
              <w:ind w:firstLine="0" w:firstLineChars="0"/>
              <w:jc w:val="center"/>
              <w:textAlignment w:val="center"/>
              <w:rPr>
                <w:rFonts w:ascii="方正小标宋简体"/>
                <w:color w:val="000000"/>
                <w:sz w:val="36"/>
              </w:rPr>
            </w:pPr>
            <w:r>
              <w:rPr>
                <w:rFonts w:hint="eastAsia" w:ascii="黑体" w:hAnsi="黑体" w:eastAsia="黑体" w:cs="黑体"/>
                <w:b/>
                <w:bCs/>
                <w:color w:val="000000"/>
                <w:sz w:val="36"/>
              </w:rPr>
              <w:t>项目绩效评价人员</w:t>
            </w:r>
          </w:p>
        </w:tc>
      </w:tr>
      <w:tr>
        <w:tblPrEx>
          <w:tblCellMar>
            <w:top w:w="0" w:type="dxa"/>
            <w:left w:w="108" w:type="dxa"/>
            <w:bottom w:w="0" w:type="dxa"/>
            <w:right w:w="108" w:type="dxa"/>
          </w:tblCellMar>
        </w:tblPrEx>
        <w:trPr>
          <w:trHeight w:val="570" w:hRule="atLeast"/>
          <w:jc w:val="center"/>
        </w:trPr>
        <w:tc>
          <w:tcPr>
            <w:tcW w:w="1792" w:type="dxa"/>
            <w:tcBorders>
              <w:top w:val="single" w:color="000000" w:sz="4" w:space="0"/>
              <w:left w:val="single" w:color="000000" w:sz="4" w:space="0"/>
              <w:bottom w:val="single" w:color="000000" w:sz="4" w:space="0"/>
              <w:right w:val="single" w:color="000000" w:sz="4" w:space="0"/>
            </w:tcBorders>
            <w:vAlign w:val="center"/>
          </w:tcPr>
          <w:p>
            <w:pPr>
              <w:autoSpaceDN w:val="0"/>
              <w:ind w:firstLine="0" w:firstLineChars="0"/>
              <w:jc w:val="center"/>
              <w:textAlignment w:val="center"/>
              <w:rPr>
                <w:rFonts w:ascii="黑体" w:hAnsi="黑体" w:eastAsia="黑体"/>
                <w:color w:val="000000"/>
                <w:sz w:val="24"/>
              </w:rPr>
            </w:pPr>
            <w:r>
              <w:rPr>
                <w:rFonts w:ascii="黑体" w:hAnsi="黑体" w:eastAsia="黑体"/>
                <w:color w:val="000000"/>
                <w:sz w:val="24"/>
              </w:rPr>
              <w:t>姓名</w:t>
            </w:r>
          </w:p>
        </w:tc>
        <w:tc>
          <w:tcPr>
            <w:tcW w:w="3102" w:type="dxa"/>
            <w:tcBorders>
              <w:top w:val="single" w:color="000000" w:sz="4" w:space="0"/>
              <w:left w:val="single" w:color="000000" w:sz="4" w:space="0"/>
              <w:bottom w:val="single" w:color="000000" w:sz="4" w:space="0"/>
              <w:right w:val="single" w:color="000000" w:sz="4" w:space="0"/>
            </w:tcBorders>
            <w:vAlign w:val="center"/>
          </w:tcPr>
          <w:p>
            <w:pPr>
              <w:autoSpaceDN w:val="0"/>
              <w:ind w:firstLine="0" w:firstLineChars="0"/>
              <w:jc w:val="center"/>
              <w:textAlignment w:val="center"/>
              <w:rPr>
                <w:rFonts w:ascii="黑体" w:hAnsi="黑体" w:eastAsia="黑体"/>
                <w:color w:val="000000"/>
                <w:sz w:val="24"/>
              </w:rPr>
            </w:pPr>
            <w:r>
              <w:rPr>
                <w:rFonts w:ascii="黑体" w:hAnsi="黑体" w:eastAsia="黑体"/>
                <w:color w:val="000000"/>
                <w:sz w:val="24"/>
              </w:rPr>
              <w:t>单位</w:t>
            </w:r>
          </w:p>
        </w:tc>
        <w:tc>
          <w:tcPr>
            <w:tcW w:w="2109" w:type="dxa"/>
            <w:tcBorders>
              <w:top w:val="single" w:color="000000" w:sz="4" w:space="0"/>
              <w:left w:val="single" w:color="000000" w:sz="4" w:space="0"/>
              <w:bottom w:val="single" w:color="000000" w:sz="4" w:space="0"/>
              <w:right w:val="single" w:color="000000" w:sz="4" w:space="0"/>
            </w:tcBorders>
            <w:vAlign w:val="center"/>
          </w:tcPr>
          <w:p>
            <w:pPr>
              <w:autoSpaceDN w:val="0"/>
              <w:ind w:firstLine="0" w:firstLineChars="0"/>
              <w:jc w:val="center"/>
              <w:textAlignment w:val="center"/>
              <w:rPr>
                <w:rFonts w:ascii="黑体" w:hAnsi="黑体" w:eastAsia="黑体"/>
                <w:color w:val="000000"/>
                <w:sz w:val="24"/>
              </w:rPr>
            </w:pPr>
            <w:r>
              <w:rPr>
                <w:rFonts w:ascii="黑体" w:hAnsi="黑体" w:eastAsia="黑体"/>
                <w:color w:val="000000"/>
                <w:sz w:val="24"/>
              </w:rPr>
              <w:t>职称/职务</w:t>
            </w:r>
          </w:p>
        </w:tc>
        <w:tc>
          <w:tcPr>
            <w:tcW w:w="1645" w:type="dxa"/>
            <w:tcBorders>
              <w:top w:val="single" w:color="000000" w:sz="4" w:space="0"/>
              <w:left w:val="single" w:color="000000" w:sz="4" w:space="0"/>
              <w:bottom w:val="single" w:color="000000" w:sz="4" w:space="0"/>
              <w:right w:val="single" w:color="000000" w:sz="4" w:space="0"/>
            </w:tcBorders>
            <w:vAlign w:val="center"/>
          </w:tcPr>
          <w:p>
            <w:pPr>
              <w:autoSpaceDN w:val="0"/>
              <w:ind w:firstLine="0" w:firstLineChars="0"/>
              <w:jc w:val="center"/>
              <w:textAlignment w:val="center"/>
              <w:rPr>
                <w:rFonts w:ascii="黑体" w:hAnsi="黑体" w:eastAsia="黑体"/>
                <w:color w:val="000000"/>
                <w:sz w:val="24"/>
              </w:rPr>
            </w:pPr>
            <w:r>
              <w:rPr>
                <w:rFonts w:ascii="黑体" w:hAnsi="黑体" w:eastAsia="黑体"/>
                <w:color w:val="000000"/>
                <w:sz w:val="24"/>
              </w:rPr>
              <w:t>签名</w:t>
            </w:r>
          </w:p>
        </w:tc>
      </w:tr>
      <w:tr>
        <w:tblPrEx>
          <w:tblCellMar>
            <w:top w:w="0" w:type="dxa"/>
            <w:left w:w="108" w:type="dxa"/>
            <w:bottom w:w="0" w:type="dxa"/>
            <w:right w:w="108" w:type="dxa"/>
          </w:tblCellMar>
        </w:tblPrEx>
        <w:trPr>
          <w:trHeight w:val="630" w:hRule="atLeast"/>
          <w:jc w:val="center"/>
        </w:trPr>
        <w:tc>
          <w:tcPr>
            <w:tcW w:w="1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ind w:firstLine="0" w:firstLineChars="0"/>
              <w:jc w:val="center"/>
              <w:textAlignment w:val="center"/>
              <w:rPr>
                <w:rFonts w:hint="eastAsia" w:ascii="宋体" w:hAnsi="宋体" w:eastAsia="宋体" w:cs="Times New Roman"/>
                <w:b w:val="0"/>
                <w:i w:val="0"/>
                <w:snapToGrid/>
                <w:color w:val="000000"/>
                <w:kern w:val="2"/>
                <w:sz w:val="22"/>
                <w:szCs w:val="24"/>
                <w:u w:val="none"/>
                <w:lang w:val="en-US" w:eastAsia="zh-CN" w:bidi="ar-SA"/>
              </w:rPr>
            </w:pPr>
            <w:r>
              <w:rPr>
                <w:rFonts w:hint="eastAsia" w:ascii="宋体" w:hAnsi="宋体"/>
                <w:b w:val="0"/>
                <w:i w:val="0"/>
                <w:snapToGrid/>
                <w:color w:val="auto"/>
                <w:sz w:val="22"/>
                <w:u w:val="none"/>
                <w:lang w:val="en-US" w:eastAsia="zh-CN"/>
              </w:rPr>
              <w:t>熊坤</w:t>
            </w:r>
          </w:p>
        </w:tc>
        <w:tc>
          <w:tcPr>
            <w:tcW w:w="31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ind w:firstLine="0" w:firstLineChars="0"/>
              <w:jc w:val="center"/>
              <w:textAlignment w:val="center"/>
              <w:rPr>
                <w:rFonts w:hint="eastAsia" w:ascii="宋体" w:hAnsi="宋体" w:eastAsia="宋体" w:cs="Times New Roman"/>
                <w:b w:val="0"/>
                <w:i w:val="0"/>
                <w:snapToGrid/>
                <w:color w:val="000000"/>
                <w:kern w:val="2"/>
                <w:sz w:val="22"/>
                <w:szCs w:val="24"/>
                <w:u w:val="none"/>
                <w:lang w:val="en-US" w:eastAsia="zh-CN" w:bidi="ar-SA"/>
              </w:rPr>
            </w:pPr>
            <w:r>
              <w:rPr>
                <w:rFonts w:hint="eastAsia" w:ascii="宋体" w:hAnsi="宋体"/>
                <w:b w:val="0"/>
                <w:i w:val="0"/>
                <w:snapToGrid/>
                <w:color w:val="auto"/>
                <w:sz w:val="22"/>
                <w:u w:val="none"/>
                <w:lang w:val="en-US" w:eastAsia="zh-CN"/>
              </w:rPr>
              <w:t>江西信达管理咨询有限公司</w:t>
            </w:r>
          </w:p>
        </w:tc>
        <w:tc>
          <w:tcPr>
            <w:tcW w:w="21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ind w:firstLine="0" w:firstLineChars="0"/>
              <w:jc w:val="center"/>
              <w:textAlignment w:val="center"/>
              <w:rPr>
                <w:rFonts w:hint="eastAsia" w:ascii="宋体" w:hAnsi="宋体" w:eastAsia="宋体" w:cs="Times New Roman"/>
                <w:b w:val="0"/>
                <w:i w:val="0"/>
                <w:snapToGrid/>
                <w:color w:val="000000"/>
                <w:kern w:val="2"/>
                <w:sz w:val="22"/>
                <w:szCs w:val="24"/>
                <w:u w:val="none"/>
                <w:lang w:val="en-US" w:eastAsia="zh-CN" w:bidi="ar-SA"/>
              </w:rPr>
            </w:pPr>
            <w:r>
              <w:rPr>
                <w:rFonts w:hint="eastAsia" w:ascii="宋体" w:hAnsi="宋体"/>
                <w:b w:val="0"/>
                <w:i w:val="0"/>
                <w:snapToGrid/>
                <w:color w:val="auto"/>
                <w:sz w:val="22"/>
                <w:u w:val="none"/>
                <w:lang w:val="en-US" w:eastAsia="zh-CN"/>
              </w:rPr>
              <w:t>部门经理</w:t>
            </w:r>
          </w:p>
        </w:tc>
        <w:tc>
          <w:tcPr>
            <w:tcW w:w="1645" w:type="dxa"/>
            <w:tcBorders>
              <w:top w:val="single" w:color="000000" w:sz="4" w:space="0"/>
              <w:left w:val="single" w:color="000000" w:sz="4" w:space="0"/>
              <w:bottom w:val="single" w:color="000000" w:sz="4" w:space="0"/>
              <w:right w:val="single" w:color="000000" w:sz="4" w:space="0"/>
            </w:tcBorders>
            <w:vAlign w:val="center"/>
          </w:tcPr>
          <w:p>
            <w:pPr>
              <w:autoSpaceDN w:val="0"/>
              <w:ind w:firstLine="0" w:firstLineChars="0"/>
              <w:jc w:val="center"/>
              <w:textAlignment w:val="center"/>
              <w:rPr>
                <w:rFonts w:ascii="宋体" w:hAnsi="宋体"/>
                <w:color w:val="000000"/>
                <w:sz w:val="22"/>
              </w:rPr>
            </w:pPr>
          </w:p>
        </w:tc>
      </w:tr>
      <w:tr>
        <w:tblPrEx>
          <w:tblCellMar>
            <w:top w:w="0" w:type="dxa"/>
            <w:left w:w="108" w:type="dxa"/>
            <w:bottom w:w="0" w:type="dxa"/>
            <w:right w:w="108" w:type="dxa"/>
          </w:tblCellMar>
        </w:tblPrEx>
        <w:trPr>
          <w:trHeight w:val="630" w:hRule="atLeast"/>
          <w:jc w:val="center"/>
        </w:trPr>
        <w:tc>
          <w:tcPr>
            <w:tcW w:w="1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ind w:firstLine="0" w:firstLineChars="0"/>
              <w:jc w:val="center"/>
              <w:textAlignment w:val="center"/>
              <w:rPr>
                <w:rFonts w:hint="eastAsia" w:ascii="宋体" w:hAnsi="宋体" w:eastAsia="宋体" w:cs="Times New Roman"/>
                <w:b w:val="0"/>
                <w:i w:val="0"/>
                <w:snapToGrid/>
                <w:color w:val="000000"/>
                <w:kern w:val="2"/>
                <w:sz w:val="22"/>
                <w:szCs w:val="24"/>
                <w:u w:val="none"/>
                <w:lang w:val="en-US" w:eastAsia="zh-CN" w:bidi="ar-SA"/>
              </w:rPr>
            </w:pPr>
            <w:r>
              <w:rPr>
                <w:rFonts w:hint="eastAsia" w:ascii="宋体" w:hAnsi="宋体"/>
                <w:b w:val="0"/>
                <w:i w:val="0"/>
                <w:snapToGrid/>
                <w:color w:val="auto"/>
                <w:sz w:val="22"/>
                <w:u w:val="none"/>
                <w:lang w:val="en-US" w:eastAsia="zh-CN"/>
              </w:rPr>
              <w:t>熊清</w:t>
            </w:r>
          </w:p>
        </w:tc>
        <w:tc>
          <w:tcPr>
            <w:tcW w:w="31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ind w:firstLine="0" w:firstLineChars="0"/>
              <w:jc w:val="center"/>
              <w:textAlignment w:val="center"/>
              <w:rPr>
                <w:rFonts w:hint="eastAsia" w:ascii="宋体" w:hAnsi="宋体" w:eastAsia="宋体" w:cs="Times New Roman"/>
                <w:b w:val="0"/>
                <w:i w:val="0"/>
                <w:snapToGrid/>
                <w:color w:val="000000"/>
                <w:kern w:val="2"/>
                <w:sz w:val="22"/>
                <w:szCs w:val="24"/>
                <w:u w:val="none"/>
                <w:lang w:val="en-US" w:eastAsia="zh-CN" w:bidi="ar-SA"/>
              </w:rPr>
            </w:pPr>
            <w:r>
              <w:rPr>
                <w:rFonts w:hint="eastAsia" w:ascii="宋体" w:hAnsi="宋体"/>
                <w:b w:val="0"/>
                <w:i w:val="0"/>
                <w:snapToGrid/>
                <w:color w:val="auto"/>
                <w:sz w:val="22"/>
                <w:u w:val="none"/>
                <w:lang w:val="en-US" w:eastAsia="zh-CN"/>
              </w:rPr>
              <w:t>江西信达管理咨询有限公司</w:t>
            </w:r>
          </w:p>
        </w:tc>
        <w:tc>
          <w:tcPr>
            <w:tcW w:w="21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ind w:firstLine="0" w:firstLineChars="0"/>
              <w:jc w:val="center"/>
              <w:textAlignment w:val="center"/>
              <w:rPr>
                <w:rFonts w:hint="eastAsia" w:ascii="宋体" w:hAnsi="宋体" w:eastAsia="宋体" w:cs="Times New Roman"/>
                <w:b w:val="0"/>
                <w:i w:val="0"/>
                <w:snapToGrid/>
                <w:color w:val="000000"/>
                <w:kern w:val="2"/>
                <w:sz w:val="22"/>
                <w:szCs w:val="24"/>
                <w:u w:val="none"/>
                <w:lang w:val="en-US" w:eastAsia="zh-CN" w:bidi="ar-SA"/>
              </w:rPr>
            </w:pPr>
            <w:r>
              <w:rPr>
                <w:rFonts w:hint="eastAsia" w:ascii="宋体" w:hAnsi="宋体"/>
                <w:b w:val="0"/>
                <w:i w:val="0"/>
                <w:snapToGrid/>
                <w:color w:val="auto"/>
                <w:sz w:val="22"/>
                <w:u w:val="none"/>
                <w:lang w:val="en-US" w:eastAsia="zh-CN"/>
              </w:rPr>
              <w:t>研究员</w:t>
            </w:r>
          </w:p>
        </w:tc>
        <w:tc>
          <w:tcPr>
            <w:tcW w:w="1645" w:type="dxa"/>
            <w:tcBorders>
              <w:top w:val="single" w:color="000000" w:sz="4" w:space="0"/>
              <w:left w:val="single" w:color="000000" w:sz="4" w:space="0"/>
              <w:bottom w:val="single" w:color="000000" w:sz="4" w:space="0"/>
              <w:right w:val="single" w:color="000000" w:sz="4" w:space="0"/>
            </w:tcBorders>
            <w:vAlign w:val="center"/>
          </w:tcPr>
          <w:p>
            <w:pPr>
              <w:autoSpaceDN w:val="0"/>
              <w:ind w:firstLine="0" w:firstLineChars="0"/>
              <w:jc w:val="center"/>
              <w:textAlignment w:val="center"/>
              <w:rPr>
                <w:rFonts w:ascii="宋体" w:hAnsi="宋体"/>
                <w:color w:val="000000"/>
                <w:sz w:val="22"/>
              </w:rPr>
            </w:pPr>
          </w:p>
        </w:tc>
      </w:tr>
      <w:tr>
        <w:tblPrEx>
          <w:tblCellMar>
            <w:top w:w="0" w:type="dxa"/>
            <w:left w:w="108" w:type="dxa"/>
            <w:bottom w:w="0" w:type="dxa"/>
            <w:right w:w="108" w:type="dxa"/>
          </w:tblCellMar>
        </w:tblPrEx>
        <w:trPr>
          <w:trHeight w:val="630" w:hRule="atLeast"/>
          <w:jc w:val="center"/>
        </w:trPr>
        <w:tc>
          <w:tcPr>
            <w:tcW w:w="1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ind w:firstLine="0" w:firstLineChars="0"/>
              <w:jc w:val="center"/>
              <w:textAlignment w:val="center"/>
              <w:rPr>
                <w:rFonts w:hint="default" w:ascii="宋体" w:hAnsi="宋体" w:eastAsia="宋体" w:cs="Times New Roman"/>
                <w:b w:val="0"/>
                <w:i w:val="0"/>
                <w:snapToGrid/>
                <w:color w:val="000000"/>
                <w:kern w:val="2"/>
                <w:sz w:val="22"/>
                <w:szCs w:val="24"/>
                <w:u w:val="none"/>
                <w:lang w:val="en-US" w:eastAsia="zh-CN" w:bidi="ar-SA"/>
              </w:rPr>
            </w:pPr>
            <w:r>
              <w:rPr>
                <w:rFonts w:hint="eastAsia" w:ascii="宋体" w:hAnsi="宋体" w:cs="Times New Roman"/>
                <w:b w:val="0"/>
                <w:i w:val="0"/>
                <w:snapToGrid/>
                <w:color w:val="000000"/>
                <w:kern w:val="2"/>
                <w:sz w:val="22"/>
                <w:szCs w:val="24"/>
                <w:u w:val="none"/>
                <w:lang w:val="en-US" w:eastAsia="zh-CN" w:bidi="ar-SA"/>
              </w:rPr>
              <w:t>姚贞越</w:t>
            </w:r>
          </w:p>
        </w:tc>
        <w:tc>
          <w:tcPr>
            <w:tcW w:w="31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ind w:firstLine="0" w:firstLineChars="0"/>
              <w:jc w:val="center"/>
              <w:textAlignment w:val="center"/>
              <w:rPr>
                <w:rFonts w:hint="eastAsia" w:ascii="宋体" w:hAnsi="宋体" w:eastAsia="宋体" w:cs="Times New Roman"/>
                <w:b w:val="0"/>
                <w:i w:val="0"/>
                <w:snapToGrid/>
                <w:color w:val="000000"/>
                <w:kern w:val="2"/>
                <w:sz w:val="22"/>
                <w:szCs w:val="24"/>
                <w:u w:val="none"/>
                <w:lang w:val="en-US" w:eastAsia="zh-CN" w:bidi="ar-SA"/>
              </w:rPr>
            </w:pPr>
            <w:r>
              <w:rPr>
                <w:rFonts w:hint="eastAsia" w:ascii="宋体" w:hAnsi="宋体"/>
                <w:b w:val="0"/>
                <w:i w:val="0"/>
                <w:snapToGrid/>
                <w:color w:val="auto"/>
                <w:sz w:val="22"/>
                <w:u w:val="none"/>
                <w:lang w:val="en-US" w:eastAsia="zh-CN"/>
              </w:rPr>
              <w:t>江西信达管理咨询有限公司</w:t>
            </w:r>
          </w:p>
        </w:tc>
        <w:tc>
          <w:tcPr>
            <w:tcW w:w="21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ind w:firstLine="0" w:firstLineChars="0"/>
              <w:jc w:val="center"/>
              <w:textAlignment w:val="center"/>
              <w:rPr>
                <w:rFonts w:hint="eastAsia" w:ascii="宋体" w:hAnsi="宋体" w:eastAsia="宋体" w:cs="Times New Roman"/>
                <w:b w:val="0"/>
                <w:i w:val="0"/>
                <w:snapToGrid/>
                <w:color w:val="000000"/>
                <w:kern w:val="2"/>
                <w:sz w:val="22"/>
                <w:szCs w:val="24"/>
                <w:u w:val="none"/>
                <w:lang w:val="en-US" w:eastAsia="zh-CN" w:bidi="ar-SA"/>
              </w:rPr>
            </w:pPr>
            <w:r>
              <w:rPr>
                <w:rFonts w:hint="eastAsia" w:ascii="宋体" w:hAnsi="宋体"/>
                <w:b w:val="0"/>
                <w:i w:val="0"/>
                <w:snapToGrid/>
                <w:color w:val="auto"/>
                <w:sz w:val="22"/>
                <w:u w:val="none"/>
                <w:lang w:val="en-US" w:eastAsia="zh-CN"/>
              </w:rPr>
              <w:t>研究员</w:t>
            </w:r>
          </w:p>
        </w:tc>
        <w:tc>
          <w:tcPr>
            <w:tcW w:w="1645" w:type="dxa"/>
            <w:tcBorders>
              <w:top w:val="single" w:color="000000" w:sz="4" w:space="0"/>
              <w:left w:val="single" w:color="000000" w:sz="4" w:space="0"/>
              <w:bottom w:val="single" w:color="000000" w:sz="4" w:space="0"/>
              <w:right w:val="single" w:color="000000" w:sz="4" w:space="0"/>
            </w:tcBorders>
            <w:vAlign w:val="center"/>
          </w:tcPr>
          <w:p>
            <w:pPr>
              <w:autoSpaceDN w:val="0"/>
              <w:ind w:firstLine="0" w:firstLineChars="0"/>
              <w:jc w:val="center"/>
              <w:textAlignment w:val="center"/>
              <w:rPr>
                <w:rFonts w:ascii="宋体" w:hAnsi="宋体"/>
                <w:color w:val="000000"/>
                <w:sz w:val="22"/>
              </w:rPr>
            </w:pPr>
          </w:p>
        </w:tc>
      </w:tr>
      <w:tr>
        <w:tblPrEx>
          <w:tblCellMar>
            <w:top w:w="0" w:type="dxa"/>
            <w:left w:w="108" w:type="dxa"/>
            <w:bottom w:w="0" w:type="dxa"/>
            <w:right w:w="108" w:type="dxa"/>
          </w:tblCellMar>
        </w:tblPrEx>
        <w:trPr>
          <w:trHeight w:val="630" w:hRule="atLeast"/>
          <w:jc w:val="center"/>
        </w:trPr>
        <w:tc>
          <w:tcPr>
            <w:tcW w:w="1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ind w:firstLine="0" w:firstLineChars="0"/>
              <w:jc w:val="center"/>
              <w:textAlignment w:val="center"/>
              <w:rPr>
                <w:rFonts w:hint="eastAsia" w:ascii="宋体" w:hAnsi="宋体" w:eastAsia="宋体" w:cs="宋体"/>
                <w:color w:val="000000"/>
                <w:kern w:val="2"/>
                <w:sz w:val="22"/>
                <w:szCs w:val="22"/>
                <w:lang w:val="en-US" w:eastAsia="zh-CN" w:bidi="ar-SA"/>
              </w:rPr>
            </w:pPr>
          </w:p>
        </w:tc>
        <w:tc>
          <w:tcPr>
            <w:tcW w:w="31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ind w:firstLine="0" w:firstLineChars="0"/>
              <w:jc w:val="center"/>
              <w:textAlignment w:val="center"/>
              <w:rPr>
                <w:rFonts w:hint="eastAsia" w:ascii="宋体" w:hAnsi="宋体" w:eastAsia="宋体" w:cs="宋体"/>
                <w:color w:val="000000"/>
                <w:kern w:val="2"/>
                <w:sz w:val="22"/>
                <w:szCs w:val="22"/>
                <w:lang w:val="en-US" w:eastAsia="zh-CN" w:bidi="ar-SA"/>
              </w:rPr>
            </w:pPr>
          </w:p>
        </w:tc>
        <w:tc>
          <w:tcPr>
            <w:tcW w:w="21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ind w:firstLine="0" w:firstLineChars="0"/>
              <w:jc w:val="center"/>
              <w:textAlignment w:val="center"/>
              <w:rPr>
                <w:rFonts w:hint="eastAsia" w:ascii="宋体" w:hAnsi="宋体" w:eastAsia="宋体" w:cs="宋体"/>
                <w:color w:val="000000"/>
                <w:kern w:val="2"/>
                <w:sz w:val="22"/>
                <w:szCs w:val="22"/>
                <w:lang w:val="en-US" w:eastAsia="zh-CN" w:bidi="ar-SA"/>
              </w:rPr>
            </w:pPr>
          </w:p>
        </w:tc>
        <w:tc>
          <w:tcPr>
            <w:tcW w:w="1645" w:type="dxa"/>
            <w:tcBorders>
              <w:top w:val="single" w:color="000000" w:sz="4" w:space="0"/>
              <w:left w:val="single" w:color="000000" w:sz="4" w:space="0"/>
              <w:bottom w:val="single" w:color="000000" w:sz="4" w:space="0"/>
              <w:right w:val="single" w:color="000000" w:sz="4" w:space="0"/>
            </w:tcBorders>
            <w:vAlign w:val="center"/>
          </w:tcPr>
          <w:p>
            <w:pPr>
              <w:autoSpaceDN w:val="0"/>
              <w:ind w:firstLine="0" w:firstLineChars="0"/>
              <w:jc w:val="center"/>
              <w:textAlignment w:val="center"/>
              <w:rPr>
                <w:rFonts w:ascii="宋体" w:hAnsi="宋体"/>
                <w:color w:val="000000"/>
                <w:sz w:val="22"/>
              </w:rPr>
            </w:pPr>
          </w:p>
        </w:tc>
      </w:tr>
      <w:tr>
        <w:tblPrEx>
          <w:tblCellMar>
            <w:top w:w="0" w:type="dxa"/>
            <w:left w:w="108" w:type="dxa"/>
            <w:bottom w:w="0" w:type="dxa"/>
            <w:right w:w="108" w:type="dxa"/>
          </w:tblCellMar>
        </w:tblPrEx>
        <w:trPr>
          <w:trHeight w:val="630" w:hRule="atLeast"/>
          <w:jc w:val="center"/>
        </w:trPr>
        <w:tc>
          <w:tcPr>
            <w:tcW w:w="1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ind w:firstLine="0" w:firstLineChars="0"/>
              <w:jc w:val="center"/>
              <w:textAlignment w:val="center"/>
              <w:rPr>
                <w:rFonts w:hint="eastAsia" w:ascii="宋体" w:hAnsi="宋体" w:eastAsia="宋体" w:cs="宋体"/>
                <w:color w:val="000000"/>
                <w:kern w:val="2"/>
                <w:sz w:val="22"/>
                <w:szCs w:val="22"/>
                <w:lang w:val="en-US" w:eastAsia="zh-CN" w:bidi="ar-SA"/>
              </w:rPr>
            </w:pPr>
          </w:p>
        </w:tc>
        <w:tc>
          <w:tcPr>
            <w:tcW w:w="310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ind w:firstLine="0" w:firstLineChars="0"/>
              <w:jc w:val="center"/>
              <w:textAlignment w:val="center"/>
              <w:rPr>
                <w:rFonts w:hint="eastAsia" w:ascii="宋体" w:hAnsi="宋体" w:eastAsia="宋体" w:cs="宋体"/>
                <w:color w:val="000000"/>
                <w:kern w:val="2"/>
                <w:sz w:val="22"/>
                <w:szCs w:val="22"/>
                <w:lang w:val="en-US" w:eastAsia="zh-CN" w:bidi="ar-SA"/>
              </w:rPr>
            </w:pPr>
          </w:p>
        </w:tc>
        <w:tc>
          <w:tcPr>
            <w:tcW w:w="21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ind w:firstLine="0" w:firstLineChars="0"/>
              <w:jc w:val="center"/>
              <w:textAlignment w:val="center"/>
              <w:rPr>
                <w:rFonts w:hint="eastAsia" w:ascii="宋体" w:hAnsi="宋体" w:eastAsia="宋体" w:cs="宋体"/>
                <w:color w:val="000000"/>
                <w:kern w:val="2"/>
                <w:sz w:val="22"/>
                <w:szCs w:val="22"/>
                <w:lang w:val="en-US" w:eastAsia="zh-CN" w:bidi="ar-SA"/>
              </w:rPr>
            </w:pPr>
          </w:p>
        </w:tc>
        <w:tc>
          <w:tcPr>
            <w:tcW w:w="1645" w:type="dxa"/>
            <w:tcBorders>
              <w:top w:val="single" w:color="000000" w:sz="4" w:space="0"/>
              <w:left w:val="single" w:color="000000" w:sz="4" w:space="0"/>
              <w:bottom w:val="single" w:color="000000" w:sz="4" w:space="0"/>
              <w:right w:val="single" w:color="000000" w:sz="4" w:space="0"/>
            </w:tcBorders>
            <w:vAlign w:val="center"/>
          </w:tcPr>
          <w:p>
            <w:pPr>
              <w:autoSpaceDN w:val="0"/>
              <w:ind w:firstLine="0" w:firstLineChars="0"/>
              <w:jc w:val="center"/>
              <w:textAlignment w:val="center"/>
              <w:rPr>
                <w:rFonts w:ascii="宋体" w:hAnsi="宋体"/>
                <w:color w:val="000000"/>
                <w:sz w:val="22"/>
              </w:rPr>
            </w:pPr>
          </w:p>
        </w:tc>
      </w:tr>
      <w:tr>
        <w:tblPrEx>
          <w:tblCellMar>
            <w:top w:w="0" w:type="dxa"/>
            <w:left w:w="108" w:type="dxa"/>
            <w:bottom w:w="0" w:type="dxa"/>
            <w:right w:w="108" w:type="dxa"/>
          </w:tblCellMar>
        </w:tblPrEx>
        <w:trPr>
          <w:trHeight w:val="630" w:hRule="atLeast"/>
          <w:jc w:val="center"/>
        </w:trPr>
        <w:tc>
          <w:tcPr>
            <w:tcW w:w="1792" w:type="dxa"/>
            <w:tcBorders>
              <w:top w:val="single" w:color="000000" w:sz="4" w:space="0"/>
              <w:left w:val="single" w:color="000000" w:sz="4" w:space="0"/>
              <w:bottom w:val="single" w:color="000000" w:sz="4" w:space="0"/>
              <w:right w:val="single" w:color="000000" w:sz="4" w:space="0"/>
            </w:tcBorders>
            <w:vAlign w:val="center"/>
          </w:tcPr>
          <w:p>
            <w:pPr>
              <w:autoSpaceDN w:val="0"/>
              <w:ind w:firstLine="0" w:firstLineChars="0"/>
              <w:jc w:val="center"/>
              <w:textAlignment w:val="center"/>
              <w:rPr>
                <w:rFonts w:ascii="宋体" w:hAnsi="宋体"/>
                <w:color w:val="000000"/>
                <w:sz w:val="22"/>
              </w:rPr>
            </w:pPr>
          </w:p>
        </w:tc>
        <w:tc>
          <w:tcPr>
            <w:tcW w:w="3102" w:type="dxa"/>
            <w:tcBorders>
              <w:top w:val="single" w:color="000000" w:sz="4" w:space="0"/>
              <w:left w:val="single" w:color="000000" w:sz="4" w:space="0"/>
              <w:bottom w:val="single" w:color="000000" w:sz="4" w:space="0"/>
              <w:right w:val="single" w:color="000000" w:sz="4" w:space="0"/>
            </w:tcBorders>
            <w:vAlign w:val="center"/>
          </w:tcPr>
          <w:p>
            <w:pPr>
              <w:autoSpaceDN w:val="0"/>
              <w:ind w:firstLine="0" w:firstLineChars="0"/>
              <w:jc w:val="center"/>
              <w:textAlignment w:val="center"/>
              <w:rPr>
                <w:rFonts w:ascii="宋体" w:hAnsi="宋体"/>
                <w:color w:val="000000"/>
                <w:sz w:val="22"/>
              </w:rPr>
            </w:pPr>
          </w:p>
        </w:tc>
        <w:tc>
          <w:tcPr>
            <w:tcW w:w="2109" w:type="dxa"/>
            <w:tcBorders>
              <w:top w:val="single" w:color="000000" w:sz="4" w:space="0"/>
              <w:left w:val="single" w:color="000000" w:sz="4" w:space="0"/>
              <w:bottom w:val="single" w:color="000000" w:sz="4" w:space="0"/>
              <w:right w:val="single" w:color="000000" w:sz="4" w:space="0"/>
            </w:tcBorders>
            <w:vAlign w:val="center"/>
          </w:tcPr>
          <w:p>
            <w:pPr>
              <w:autoSpaceDN w:val="0"/>
              <w:ind w:firstLine="0" w:firstLineChars="0"/>
              <w:jc w:val="center"/>
              <w:textAlignment w:val="center"/>
              <w:rPr>
                <w:rFonts w:ascii="宋体" w:hAnsi="宋体"/>
                <w:color w:val="000000"/>
                <w:sz w:val="22"/>
              </w:rPr>
            </w:pPr>
            <w:r>
              <w:rPr>
                <w:rFonts w:ascii="宋体" w:hAnsi="宋体"/>
                <w:color w:val="000000"/>
                <w:sz w:val="22"/>
              </w:rPr>
              <w:t xml:space="preserve">  </w:t>
            </w:r>
          </w:p>
        </w:tc>
        <w:tc>
          <w:tcPr>
            <w:tcW w:w="1645" w:type="dxa"/>
            <w:tcBorders>
              <w:top w:val="single" w:color="000000" w:sz="4" w:space="0"/>
              <w:left w:val="single" w:color="000000" w:sz="4" w:space="0"/>
              <w:bottom w:val="single" w:color="000000" w:sz="4" w:space="0"/>
              <w:right w:val="single" w:color="000000" w:sz="4" w:space="0"/>
            </w:tcBorders>
            <w:vAlign w:val="center"/>
          </w:tcPr>
          <w:p>
            <w:pPr>
              <w:autoSpaceDN w:val="0"/>
              <w:ind w:firstLine="0" w:firstLineChars="0"/>
              <w:jc w:val="center"/>
              <w:textAlignment w:val="center"/>
              <w:rPr>
                <w:rFonts w:ascii="宋体" w:hAnsi="宋体"/>
                <w:color w:val="000000"/>
                <w:sz w:val="22"/>
              </w:rPr>
            </w:pPr>
          </w:p>
        </w:tc>
      </w:tr>
      <w:tr>
        <w:tblPrEx>
          <w:tblCellMar>
            <w:top w:w="0" w:type="dxa"/>
            <w:left w:w="108" w:type="dxa"/>
            <w:bottom w:w="0" w:type="dxa"/>
            <w:right w:w="108" w:type="dxa"/>
          </w:tblCellMar>
        </w:tblPrEx>
        <w:trPr>
          <w:trHeight w:val="630" w:hRule="atLeast"/>
          <w:jc w:val="center"/>
        </w:trPr>
        <w:tc>
          <w:tcPr>
            <w:tcW w:w="1792" w:type="dxa"/>
            <w:tcBorders>
              <w:top w:val="single" w:color="000000" w:sz="4" w:space="0"/>
              <w:left w:val="single" w:color="000000" w:sz="4" w:space="0"/>
              <w:bottom w:val="single" w:color="000000" w:sz="4" w:space="0"/>
              <w:right w:val="single" w:color="000000" w:sz="4" w:space="0"/>
            </w:tcBorders>
            <w:vAlign w:val="center"/>
          </w:tcPr>
          <w:p>
            <w:pPr>
              <w:autoSpaceDN w:val="0"/>
              <w:ind w:firstLine="0" w:firstLineChars="0"/>
              <w:jc w:val="center"/>
              <w:textAlignment w:val="center"/>
              <w:rPr>
                <w:rFonts w:ascii="宋体" w:hAnsi="宋体"/>
                <w:color w:val="000000"/>
                <w:sz w:val="22"/>
              </w:rPr>
            </w:pPr>
          </w:p>
        </w:tc>
        <w:tc>
          <w:tcPr>
            <w:tcW w:w="3102" w:type="dxa"/>
            <w:tcBorders>
              <w:top w:val="single" w:color="000000" w:sz="4" w:space="0"/>
              <w:left w:val="single" w:color="000000" w:sz="4" w:space="0"/>
              <w:bottom w:val="single" w:color="000000" w:sz="4" w:space="0"/>
              <w:right w:val="single" w:color="000000" w:sz="4" w:space="0"/>
            </w:tcBorders>
            <w:vAlign w:val="center"/>
          </w:tcPr>
          <w:p>
            <w:pPr>
              <w:autoSpaceDN w:val="0"/>
              <w:ind w:firstLine="0" w:firstLineChars="0"/>
              <w:jc w:val="center"/>
              <w:textAlignment w:val="center"/>
              <w:rPr>
                <w:rFonts w:ascii="宋体" w:hAnsi="宋体"/>
                <w:color w:val="000000"/>
                <w:sz w:val="22"/>
              </w:rPr>
            </w:pPr>
          </w:p>
        </w:tc>
        <w:tc>
          <w:tcPr>
            <w:tcW w:w="2109" w:type="dxa"/>
            <w:tcBorders>
              <w:top w:val="single" w:color="000000" w:sz="4" w:space="0"/>
              <w:left w:val="single" w:color="000000" w:sz="4" w:space="0"/>
              <w:bottom w:val="single" w:color="000000" w:sz="4" w:space="0"/>
              <w:right w:val="single" w:color="000000" w:sz="4" w:space="0"/>
            </w:tcBorders>
            <w:vAlign w:val="center"/>
          </w:tcPr>
          <w:p>
            <w:pPr>
              <w:autoSpaceDN w:val="0"/>
              <w:ind w:firstLine="0" w:firstLineChars="0"/>
              <w:jc w:val="center"/>
              <w:textAlignment w:val="center"/>
              <w:rPr>
                <w:rFonts w:ascii="宋体" w:hAnsi="宋体"/>
                <w:color w:val="000000"/>
                <w:sz w:val="22"/>
              </w:rPr>
            </w:pPr>
          </w:p>
        </w:tc>
        <w:tc>
          <w:tcPr>
            <w:tcW w:w="1645" w:type="dxa"/>
            <w:tcBorders>
              <w:top w:val="single" w:color="000000" w:sz="4" w:space="0"/>
              <w:left w:val="single" w:color="000000" w:sz="4" w:space="0"/>
              <w:bottom w:val="single" w:color="000000" w:sz="4" w:space="0"/>
              <w:right w:val="single" w:color="000000" w:sz="4" w:space="0"/>
            </w:tcBorders>
            <w:vAlign w:val="center"/>
          </w:tcPr>
          <w:p>
            <w:pPr>
              <w:autoSpaceDN w:val="0"/>
              <w:ind w:firstLine="0" w:firstLineChars="0"/>
              <w:jc w:val="center"/>
              <w:textAlignment w:val="center"/>
              <w:rPr>
                <w:rFonts w:ascii="宋体" w:hAnsi="宋体"/>
                <w:color w:val="000000"/>
                <w:sz w:val="22"/>
              </w:rPr>
            </w:pPr>
          </w:p>
        </w:tc>
      </w:tr>
      <w:tr>
        <w:tblPrEx>
          <w:tblCellMar>
            <w:top w:w="0" w:type="dxa"/>
            <w:left w:w="108" w:type="dxa"/>
            <w:bottom w:w="0" w:type="dxa"/>
            <w:right w:w="108" w:type="dxa"/>
          </w:tblCellMar>
        </w:tblPrEx>
        <w:trPr>
          <w:trHeight w:val="630" w:hRule="atLeast"/>
          <w:jc w:val="center"/>
        </w:trPr>
        <w:tc>
          <w:tcPr>
            <w:tcW w:w="1792" w:type="dxa"/>
            <w:tcBorders>
              <w:top w:val="single" w:color="000000" w:sz="4" w:space="0"/>
              <w:left w:val="single" w:color="000000" w:sz="4" w:space="0"/>
              <w:bottom w:val="single" w:color="000000" w:sz="4" w:space="0"/>
              <w:right w:val="single" w:color="000000" w:sz="4" w:space="0"/>
            </w:tcBorders>
            <w:vAlign w:val="center"/>
          </w:tcPr>
          <w:p>
            <w:pPr>
              <w:autoSpaceDN w:val="0"/>
              <w:ind w:firstLine="0" w:firstLineChars="0"/>
              <w:jc w:val="center"/>
              <w:textAlignment w:val="center"/>
              <w:rPr>
                <w:rFonts w:ascii="宋体" w:hAnsi="宋体"/>
                <w:color w:val="000000"/>
                <w:sz w:val="22"/>
              </w:rPr>
            </w:pPr>
          </w:p>
        </w:tc>
        <w:tc>
          <w:tcPr>
            <w:tcW w:w="3102" w:type="dxa"/>
            <w:tcBorders>
              <w:top w:val="single" w:color="000000" w:sz="4" w:space="0"/>
              <w:left w:val="single" w:color="000000" w:sz="4" w:space="0"/>
              <w:bottom w:val="single" w:color="000000" w:sz="4" w:space="0"/>
              <w:right w:val="single" w:color="000000" w:sz="4" w:space="0"/>
            </w:tcBorders>
            <w:vAlign w:val="center"/>
          </w:tcPr>
          <w:p>
            <w:pPr>
              <w:autoSpaceDN w:val="0"/>
              <w:ind w:firstLine="0" w:firstLineChars="0"/>
              <w:jc w:val="center"/>
              <w:textAlignment w:val="center"/>
              <w:rPr>
                <w:rFonts w:ascii="宋体" w:hAnsi="宋体"/>
                <w:color w:val="000000"/>
                <w:sz w:val="22"/>
              </w:rPr>
            </w:pPr>
          </w:p>
        </w:tc>
        <w:tc>
          <w:tcPr>
            <w:tcW w:w="2109" w:type="dxa"/>
            <w:tcBorders>
              <w:top w:val="single" w:color="000000" w:sz="4" w:space="0"/>
              <w:left w:val="single" w:color="000000" w:sz="4" w:space="0"/>
              <w:bottom w:val="single" w:color="000000" w:sz="4" w:space="0"/>
              <w:right w:val="single" w:color="000000" w:sz="4" w:space="0"/>
            </w:tcBorders>
            <w:vAlign w:val="center"/>
          </w:tcPr>
          <w:p>
            <w:pPr>
              <w:autoSpaceDN w:val="0"/>
              <w:ind w:firstLine="0" w:firstLineChars="0"/>
              <w:jc w:val="center"/>
              <w:textAlignment w:val="center"/>
              <w:rPr>
                <w:rFonts w:ascii="宋体" w:hAnsi="宋体"/>
                <w:color w:val="000000"/>
                <w:sz w:val="22"/>
              </w:rPr>
            </w:pPr>
          </w:p>
        </w:tc>
        <w:tc>
          <w:tcPr>
            <w:tcW w:w="1645" w:type="dxa"/>
            <w:tcBorders>
              <w:top w:val="single" w:color="000000" w:sz="4" w:space="0"/>
              <w:left w:val="single" w:color="000000" w:sz="4" w:space="0"/>
              <w:bottom w:val="single" w:color="000000" w:sz="4" w:space="0"/>
              <w:right w:val="single" w:color="000000" w:sz="4" w:space="0"/>
            </w:tcBorders>
            <w:vAlign w:val="center"/>
          </w:tcPr>
          <w:p>
            <w:pPr>
              <w:autoSpaceDN w:val="0"/>
              <w:ind w:firstLine="0" w:firstLineChars="0"/>
              <w:jc w:val="center"/>
              <w:textAlignment w:val="center"/>
              <w:rPr>
                <w:rFonts w:ascii="宋体" w:hAnsi="宋体"/>
                <w:color w:val="000000"/>
                <w:sz w:val="22"/>
              </w:rPr>
            </w:pPr>
          </w:p>
        </w:tc>
      </w:tr>
      <w:tr>
        <w:tblPrEx>
          <w:tblCellMar>
            <w:top w:w="0" w:type="dxa"/>
            <w:left w:w="108" w:type="dxa"/>
            <w:bottom w:w="0" w:type="dxa"/>
            <w:right w:w="108" w:type="dxa"/>
          </w:tblCellMar>
        </w:tblPrEx>
        <w:trPr>
          <w:trHeight w:val="630" w:hRule="atLeast"/>
          <w:jc w:val="center"/>
        </w:trPr>
        <w:tc>
          <w:tcPr>
            <w:tcW w:w="1792" w:type="dxa"/>
            <w:tcBorders>
              <w:top w:val="single" w:color="000000" w:sz="4" w:space="0"/>
              <w:left w:val="single" w:color="000000" w:sz="4" w:space="0"/>
              <w:bottom w:val="single" w:color="000000" w:sz="4" w:space="0"/>
              <w:right w:val="single" w:color="000000" w:sz="4" w:space="0"/>
            </w:tcBorders>
            <w:vAlign w:val="center"/>
          </w:tcPr>
          <w:p>
            <w:pPr>
              <w:autoSpaceDN w:val="0"/>
              <w:ind w:firstLine="0" w:firstLineChars="0"/>
              <w:jc w:val="center"/>
              <w:textAlignment w:val="center"/>
              <w:rPr>
                <w:rFonts w:ascii="宋体" w:hAnsi="宋体"/>
                <w:color w:val="000000"/>
                <w:sz w:val="22"/>
              </w:rPr>
            </w:pPr>
          </w:p>
        </w:tc>
        <w:tc>
          <w:tcPr>
            <w:tcW w:w="3102" w:type="dxa"/>
            <w:tcBorders>
              <w:top w:val="single" w:color="000000" w:sz="4" w:space="0"/>
              <w:left w:val="single" w:color="000000" w:sz="4" w:space="0"/>
              <w:bottom w:val="single" w:color="000000" w:sz="4" w:space="0"/>
              <w:right w:val="single" w:color="000000" w:sz="4" w:space="0"/>
            </w:tcBorders>
            <w:vAlign w:val="center"/>
          </w:tcPr>
          <w:p>
            <w:pPr>
              <w:autoSpaceDN w:val="0"/>
              <w:ind w:firstLine="0" w:firstLineChars="0"/>
              <w:jc w:val="center"/>
              <w:textAlignment w:val="center"/>
              <w:rPr>
                <w:rFonts w:ascii="宋体" w:hAnsi="宋体"/>
                <w:color w:val="000000"/>
                <w:sz w:val="22"/>
              </w:rPr>
            </w:pPr>
          </w:p>
        </w:tc>
        <w:tc>
          <w:tcPr>
            <w:tcW w:w="2109" w:type="dxa"/>
            <w:tcBorders>
              <w:top w:val="single" w:color="000000" w:sz="4" w:space="0"/>
              <w:left w:val="single" w:color="000000" w:sz="4" w:space="0"/>
              <w:bottom w:val="single" w:color="000000" w:sz="4" w:space="0"/>
              <w:right w:val="single" w:color="000000" w:sz="4" w:space="0"/>
            </w:tcBorders>
            <w:vAlign w:val="center"/>
          </w:tcPr>
          <w:p>
            <w:pPr>
              <w:autoSpaceDN w:val="0"/>
              <w:ind w:firstLine="0" w:firstLineChars="0"/>
              <w:jc w:val="center"/>
              <w:textAlignment w:val="center"/>
              <w:rPr>
                <w:rFonts w:ascii="宋体" w:hAnsi="宋体"/>
                <w:color w:val="000000"/>
                <w:sz w:val="22"/>
              </w:rPr>
            </w:pPr>
          </w:p>
        </w:tc>
        <w:tc>
          <w:tcPr>
            <w:tcW w:w="1645" w:type="dxa"/>
            <w:tcBorders>
              <w:top w:val="single" w:color="000000" w:sz="4" w:space="0"/>
              <w:left w:val="single" w:color="000000" w:sz="4" w:space="0"/>
              <w:bottom w:val="single" w:color="000000" w:sz="4" w:space="0"/>
              <w:right w:val="single" w:color="000000" w:sz="4" w:space="0"/>
            </w:tcBorders>
            <w:vAlign w:val="center"/>
          </w:tcPr>
          <w:p>
            <w:pPr>
              <w:autoSpaceDN w:val="0"/>
              <w:ind w:firstLine="0" w:firstLineChars="0"/>
              <w:jc w:val="center"/>
              <w:textAlignment w:val="center"/>
              <w:rPr>
                <w:rFonts w:ascii="宋体" w:hAnsi="宋体"/>
                <w:color w:val="000000"/>
                <w:sz w:val="22"/>
              </w:rPr>
            </w:pPr>
          </w:p>
        </w:tc>
      </w:tr>
      <w:tr>
        <w:tblPrEx>
          <w:tblCellMar>
            <w:top w:w="0" w:type="dxa"/>
            <w:left w:w="108" w:type="dxa"/>
            <w:bottom w:w="0" w:type="dxa"/>
            <w:right w:w="108" w:type="dxa"/>
          </w:tblCellMar>
        </w:tblPrEx>
        <w:trPr>
          <w:trHeight w:val="630" w:hRule="atLeast"/>
          <w:jc w:val="center"/>
        </w:trPr>
        <w:tc>
          <w:tcPr>
            <w:tcW w:w="1792" w:type="dxa"/>
            <w:tcBorders>
              <w:top w:val="single" w:color="000000" w:sz="4" w:space="0"/>
              <w:left w:val="single" w:color="000000" w:sz="4" w:space="0"/>
              <w:bottom w:val="single" w:color="000000" w:sz="4" w:space="0"/>
              <w:right w:val="single" w:color="000000" w:sz="4" w:space="0"/>
            </w:tcBorders>
            <w:vAlign w:val="center"/>
          </w:tcPr>
          <w:p>
            <w:pPr>
              <w:autoSpaceDN w:val="0"/>
              <w:ind w:firstLine="0" w:firstLineChars="0"/>
              <w:jc w:val="center"/>
              <w:textAlignment w:val="center"/>
              <w:rPr>
                <w:rFonts w:ascii="宋体" w:hAnsi="宋体"/>
                <w:color w:val="000000"/>
                <w:sz w:val="22"/>
              </w:rPr>
            </w:pPr>
          </w:p>
        </w:tc>
        <w:tc>
          <w:tcPr>
            <w:tcW w:w="3102" w:type="dxa"/>
            <w:tcBorders>
              <w:top w:val="single" w:color="000000" w:sz="4" w:space="0"/>
              <w:left w:val="single" w:color="000000" w:sz="4" w:space="0"/>
              <w:bottom w:val="single" w:color="000000" w:sz="4" w:space="0"/>
              <w:right w:val="single" w:color="000000" w:sz="4" w:space="0"/>
            </w:tcBorders>
            <w:vAlign w:val="center"/>
          </w:tcPr>
          <w:p>
            <w:pPr>
              <w:autoSpaceDN w:val="0"/>
              <w:ind w:firstLine="0" w:firstLineChars="0"/>
              <w:jc w:val="center"/>
              <w:textAlignment w:val="center"/>
              <w:rPr>
                <w:rFonts w:ascii="宋体" w:hAnsi="宋体"/>
                <w:color w:val="000000"/>
                <w:sz w:val="22"/>
              </w:rPr>
            </w:pPr>
          </w:p>
        </w:tc>
        <w:tc>
          <w:tcPr>
            <w:tcW w:w="2109" w:type="dxa"/>
            <w:tcBorders>
              <w:top w:val="single" w:color="000000" w:sz="4" w:space="0"/>
              <w:left w:val="single" w:color="000000" w:sz="4" w:space="0"/>
              <w:bottom w:val="single" w:color="000000" w:sz="4" w:space="0"/>
              <w:right w:val="single" w:color="000000" w:sz="4" w:space="0"/>
            </w:tcBorders>
            <w:vAlign w:val="center"/>
          </w:tcPr>
          <w:p>
            <w:pPr>
              <w:autoSpaceDN w:val="0"/>
              <w:ind w:firstLine="0" w:firstLineChars="0"/>
              <w:jc w:val="center"/>
              <w:textAlignment w:val="center"/>
              <w:rPr>
                <w:rFonts w:ascii="宋体" w:hAnsi="宋体"/>
                <w:color w:val="000000"/>
                <w:sz w:val="22"/>
              </w:rPr>
            </w:pPr>
          </w:p>
        </w:tc>
        <w:tc>
          <w:tcPr>
            <w:tcW w:w="1645" w:type="dxa"/>
            <w:tcBorders>
              <w:top w:val="single" w:color="000000" w:sz="4" w:space="0"/>
              <w:left w:val="single" w:color="000000" w:sz="4" w:space="0"/>
              <w:bottom w:val="single" w:color="000000" w:sz="4" w:space="0"/>
              <w:right w:val="single" w:color="000000" w:sz="4" w:space="0"/>
            </w:tcBorders>
            <w:vAlign w:val="center"/>
          </w:tcPr>
          <w:p>
            <w:pPr>
              <w:autoSpaceDN w:val="0"/>
              <w:ind w:firstLine="0" w:firstLineChars="0"/>
              <w:jc w:val="center"/>
              <w:textAlignment w:val="center"/>
              <w:rPr>
                <w:rFonts w:ascii="宋体" w:hAnsi="宋体"/>
                <w:color w:val="000000"/>
                <w:sz w:val="22"/>
              </w:rPr>
            </w:pPr>
          </w:p>
        </w:tc>
      </w:tr>
      <w:tr>
        <w:tblPrEx>
          <w:tblCellMar>
            <w:top w:w="0" w:type="dxa"/>
            <w:left w:w="108" w:type="dxa"/>
            <w:bottom w:w="0" w:type="dxa"/>
            <w:right w:w="108" w:type="dxa"/>
          </w:tblCellMar>
        </w:tblPrEx>
        <w:trPr>
          <w:trHeight w:val="630" w:hRule="atLeast"/>
          <w:jc w:val="center"/>
        </w:trPr>
        <w:tc>
          <w:tcPr>
            <w:tcW w:w="1792" w:type="dxa"/>
            <w:tcBorders>
              <w:top w:val="single" w:color="000000" w:sz="4" w:space="0"/>
              <w:left w:val="single" w:color="000000" w:sz="4" w:space="0"/>
              <w:bottom w:val="single" w:color="000000" w:sz="4" w:space="0"/>
              <w:right w:val="single" w:color="000000" w:sz="4" w:space="0"/>
            </w:tcBorders>
            <w:vAlign w:val="center"/>
          </w:tcPr>
          <w:p>
            <w:pPr>
              <w:autoSpaceDN w:val="0"/>
              <w:ind w:firstLine="0" w:firstLineChars="0"/>
              <w:jc w:val="center"/>
              <w:textAlignment w:val="center"/>
              <w:rPr>
                <w:rFonts w:ascii="宋体" w:hAnsi="宋体"/>
                <w:color w:val="000000"/>
                <w:sz w:val="22"/>
              </w:rPr>
            </w:pPr>
          </w:p>
        </w:tc>
        <w:tc>
          <w:tcPr>
            <w:tcW w:w="3102" w:type="dxa"/>
            <w:tcBorders>
              <w:top w:val="single" w:color="000000" w:sz="4" w:space="0"/>
              <w:left w:val="single" w:color="000000" w:sz="4" w:space="0"/>
              <w:bottom w:val="single" w:color="000000" w:sz="4" w:space="0"/>
              <w:right w:val="single" w:color="000000" w:sz="4" w:space="0"/>
            </w:tcBorders>
            <w:vAlign w:val="center"/>
          </w:tcPr>
          <w:p>
            <w:pPr>
              <w:autoSpaceDN w:val="0"/>
              <w:ind w:firstLine="0" w:firstLineChars="0"/>
              <w:jc w:val="center"/>
              <w:textAlignment w:val="center"/>
              <w:rPr>
                <w:rFonts w:ascii="宋体" w:hAnsi="宋体"/>
                <w:color w:val="000000"/>
                <w:sz w:val="22"/>
              </w:rPr>
            </w:pPr>
            <w:r>
              <w:rPr>
                <w:rFonts w:ascii="宋体" w:hAnsi="宋体"/>
                <w:color w:val="000000"/>
                <w:sz w:val="22"/>
              </w:rPr>
              <w:t xml:space="preserve"> </w:t>
            </w:r>
          </w:p>
        </w:tc>
        <w:tc>
          <w:tcPr>
            <w:tcW w:w="2109" w:type="dxa"/>
            <w:tcBorders>
              <w:top w:val="single" w:color="000000" w:sz="4" w:space="0"/>
              <w:left w:val="single" w:color="000000" w:sz="4" w:space="0"/>
              <w:bottom w:val="single" w:color="000000" w:sz="4" w:space="0"/>
              <w:right w:val="single" w:color="000000" w:sz="4" w:space="0"/>
            </w:tcBorders>
            <w:vAlign w:val="center"/>
          </w:tcPr>
          <w:p>
            <w:pPr>
              <w:autoSpaceDN w:val="0"/>
              <w:ind w:firstLine="0" w:firstLineChars="0"/>
              <w:jc w:val="center"/>
              <w:textAlignment w:val="center"/>
              <w:rPr>
                <w:rFonts w:ascii="宋体" w:hAnsi="宋体"/>
                <w:color w:val="000000"/>
                <w:sz w:val="22"/>
              </w:rPr>
            </w:pPr>
          </w:p>
        </w:tc>
        <w:tc>
          <w:tcPr>
            <w:tcW w:w="1645" w:type="dxa"/>
            <w:tcBorders>
              <w:top w:val="single" w:color="000000" w:sz="4" w:space="0"/>
              <w:left w:val="single" w:color="000000" w:sz="4" w:space="0"/>
              <w:bottom w:val="single" w:color="000000" w:sz="4" w:space="0"/>
              <w:right w:val="single" w:color="000000" w:sz="4" w:space="0"/>
            </w:tcBorders>
            <w:vAlign w:val="center"/>
          </w:tcPr>
          <w:p>
            <w:pPr>
              <w:autoSpaceDN w:val="0"/>
              <w:ind w:firstLine="0" w:firstLineChars="0"/>
              <w:jc w:val="center"/>
              <w:textAlignment w:val="center"/>
              <w:rPr>
                <w:rFonts w:ascii="宋体" w:hAnsi="宋体"/>
                <w:color w:val="000000"/>
                <w:sz w:val="22"/>
              </w:rPr>
            </w:pPr>
          </w:p>
        </w:tc>
      </w:tr>
      <w:tr>
        <w:tblPrEx>
          <w:tblCellMar>
            <w:top w:w="0" w:type="dxa"/>
            <w:left w:w="108" w:type="dxa"/>
            <w:bottom w:w="0" w:type="dxa"/>
            <w:right w:w="108" w:type="dxa"/>
          </w:tblCellMar>
        </w:tblPrEx>
        <w:trPr>
          <w:trHeight w:val="1140" w:hRule="atLeast"/>
          <w:jc w:val="center"/>
        </w:trPr>
        <w:tc>
          <w:tcPr>
            <w:tcW w:w="1792" w:type="dxa"/>
            <w:tcBorders>
              <w:top w:val="single" w:color="000000" w:sz="4" w:space="0"/>
              <w:left w:val="single" w:color="000000" w:sz="4" w:space="0"/>
              <w:bottom w:val="single" w:color="000000" w:sz="4" w:space="0"/>
              <w:right w:val="single" w:color="000000" w:sz="4" w:space="0"/>
            </w:tcBorders>
            <w:vAlign w:val="center"/>
          </w:tcPr>
          <w:p>
            <w:pPr>
              <w:autoSpaceDN w:val="0"/>
              <w:ind w:firstLine="0" w:firstLineChars="0"/>
              <w:jc w:val="left"/>
              <w:textAlignment w:val="center"/>
              <w:rPr>
                <w:rFonts w:ascii="宋体" w:hAnsi="宋体"/>
                <w:color w:val="000000"/>
                <w:sz w:val="22"/>
              </w:rPr>
            </w:pPr>
            <w:r>
              <w:rPr>
                <w:rFonts w:ascii="宋体" w:hAnsi="宋体"/>
                <w:color w:val="000000"/>
                <w:sz w:val="22"/>
              </w:rPr>
              <w:t>评价组组长</w:t>
            </w:r>
          </w:p>
          <w:p>
            <w:pPr>
              <w:autoSpaceDN w:val="0"/>
              <w:ind w:firstLine="0" w:firstLineChars="0"/>
              <w:jc w:val="left"/>
              <w:textAlignment w:val="center"/>
              <w:rPr>
                <w:rFonts w:ascii="宋体" w:hAnsi="宋体"/>
                <w:color w:val="000000"/>
                <w:sz w:val="22"/>
              </w:rPr>
            </w:pPr>
            <w:r>
              <w:rPr>
                <w:rFonts w:ascii="宋体" w:hAnsi="宋体"/>
                <w:color w:val="000000"/>
                <w:sz w:val="22"/>
              </w:rPr>
              <w:t>(签名):</w:t>
            </w:r>
          </w:p>
        </w:tc>
        <w:tc>
          <w:tcPr>
            <w:tcW w:w="3102" w:type="dxa"/>
            <w:tcBorders>
              <w:top w:val="single" w:color="000000" w:sz="4" w:space="0"/>
              <w:left w:val="single" w:color="000000" w:sz="4" w:space="0"/>
              <w:bottom w:val="single" w:color="000000" w:sz="4" w:space="0"/>
              <w:right w:val="single" w:color="000000" w:sz="4" w:space="0"/>
            </w:tcBorders>
            <w:vAlign w:val="center"/>
          </w:tcPr>
          <w:p>
            <w:pPr>
              <w:autoSpaceDN w:val="0"/>
              <w:ind w:firstLine="0" w:firstLineChars="0"/>
              <w:jc w:val="center"/>
              <w:textAlignment w:val="center"/>
              <w:rPr>
                <w:rFonts w:ascii="宋体" w:hAnsi="宋体"/>
                <w:color w:val="000000"/>
                <w:sz w:val="22"/>
              </w:rPr>
            </w:pPr>
          </w:p>
        </w:tc>
        <w:tc>
          <w:tcPr>
            <w:tcW w:w="3754" w:type="dxa"/>
            <w:gridSpan w:val="2"/>
            <w:tcBorders>
              <w:top w:val="single" w:color="000000" w:sz="4" w:space="0"/>
              <w:left w:val="single" w:color="000000" w:sz="4" w:space="0"/>
              <w:bottom w:val="single" w:color="000000" w:sz="4" w:space="0"/>
              <w:right w:val="single" w:color="000000" w:sz="4" w:space="0"/>
            </w:tcBorders>
            <w:vAlign w:val="center"/>
          </w:tcPr>
          <w:p>
            <w:pPr>
              <w:autoSpaceDN w:val="0"/>
              <w:ind w:firstLine="0" w:firstLineChars="0"/>
              <w:jc w:val="center"/>
              <w:textAlignment w:val="center"/>
              <w:rPr>
                <w:rFonts w:ascii="宋体" w:hAnsi="宋体"/>
                <w:color w:val="000000"/>
                <w:sz w:val="24"/>
              </w:rPr>
            </w:pPr>
            <w:r>
              <w:rPr>
                <w:rFonts w:ascii="宋体" w:hAnsi="宋体"/>
                <w:color w:val="000000"/>
                <w:sz w:val="24"/>
              </w:rPr>
              <w:t xml:space="preserve">      年    月    日</w:t>
            </w:r>
          </w:p>
        </w:tc>
      </w:tr>
      <w:tr>
        <w:tblPrEx>
          <w:tblCellMar>
            <w:top w:w="0" w:type="dxa"/>
            <w:left w:w="108" w:type="dxa"/>
            <w:bottom w:w="0" w:type="dxa"/>
            <w:right w:w="108" w:type="dxa"/>
          </w:tblCellMar>
        </w:tblPrEx>
        <w:trPr>
          <w:trHeight w:val="975" w:hRule="atLeast"/>
          <w:jc w:val="center"/>
        </w:trPr>
        <w:tc>
          <w:tcPr>
            <w:tcW w:w="1792" w:type="dxa"/>
            <w:tcBorders>
              <w:top w:val="single" w:color="000000" w:sz="4" w:space="0"/>
              <w:left w:val="single" w:color="000000" w:sz="4" w:space="0"/>
              <w:bottom w:val="single" w:color="000000" w:sz="4" w:space="0"/>
              <w:right w:val="single" w:color="000000" w:sz="4" w:space="0"/>
            </w:tcBorders>
            <w:vAlign w:val="center"/>
          </w:tcPr>
          <w:p>
            <w:pPr>
              <w:autoSpaceDN w:val="0"/>
              <w:ind w:firstLine="0" w:firstLineChars="0"/>
              <w:jc w:val="left"/>
              <w:textAlignment w:val="center"/>
              <w:rPr>
                <w:rFonts w:ascii="宋体" w:hAnsi="宋体"/>
                <w:color w:val="000000"/>
                <w:sz w:val="22"/>
              </w:rPr>
            </w:pPr>
            <w:r>
              <w:rPr>
                <w:rFonts w:ascii="宋体" w:hAnsi="宋体"/>
                <w:color w:val="000000"/>
                <w:sz w:val="22"/>
              </w:rPr>
              <w:t>中介机构</w:t>
            </w:r>
          </w:p>
          <w:p>
            <w:pPr>
              <w:autoSpaceDN w:val="0"/>
              <w:ind w:firstLine="0" w:firstLineChars="0"/>
              <w:jc w:val="left"/>
              <w:textAlignment w:val="center"/>
              <w:rPr>
                <w:rFonts w:ascii="宋体" w:hAnsi="宋体"/>
                <w:color w:val="000000"/>
                <w:sz w:val="22"/>
              </w:rPr>
            </w:pPr>
            <w:r>
              <w:rPr>
                <w:rFonts w:ascii="宋体" w:hAnsi="宋体"/>
                <w:color w:val="000000"/>
                <w:sz w:val="22"/>
              </w:rPr>
              <w:t>（盖章）:</w:t>
            </w:r>
          </w:p>
        </w:tc>
        <w:tc>
          <w:tcPr>
            <w:tcW w:w="3102" w:type="dxa"/>
            <w:tcBorders>
              <w:top w:val="single" w:color="000000" w:sz="4" w:space="0"/>
              <w:left w:val="single" w:color="000000" w:sz="4" w:space="0"/>
              <w:bottom w:val="single" w:color="000000" w:sz="4" w:space="0"/>
              <w:right w:val="single" w:color="000000" w:sz="4" w:space="0"/>
            </w:tcBorders>
            <w:vAlign w:val="center"/>
          </w:tcPr>
          <w:p>
            <w:pPr>
              <w:autoSpaceDN w:val="0"/>
              <w:ind w:firstLine="0" w:firstLineChars="0"/>
              <w:jc w:val="center"/>
              <w:textAlignment w:val="center"/>
              <w:rPr>
                <w:rFonts w:ascii="宋体" w:hAnsi="宋体"/>
                <w:color w:val="000000"/>
                <w:sz w:val="22"/>
              </w:rPr>
            </w:pPr>
          </w:p>
        </w:tc>
        <w:tc>
          <w:tcPr>
            <w:tcW w:w="3754" w:type="dxa"/>
            <w:gridSpan w:val="2"/>
            <w:tcBorders>
              <w:top w:val="single" w:color="000000" w:sz="4" w:space="0"/>
              <w:left w:val="single" w:color="000000" w:sz="4" w:space="0"/>
              <w:bottom w:val="single" w:color="000000" w:sz="4" w:space="0"/>
              <w:right w:val="single" w:color="000000" w:sz="4" w:space="0"/>
            </w:tcBorders>
            <w:vAlign w:val="center"/>
          </w:tcPr>
          <w:p>
            <w:pPr>
              <w:autoSpaceDN w:val="0"/>
              <w:ind w:firstLine="0" w:firstLineChars="0"/>
              <w:jc w:val="center"/>
              <w:textAlignment w:val="center"/>
              <w:rPr>
                <w:rFonts w:ascii="宋体" w:hAnsi="宋体"/>
                <w:color w:val="000000"/>
                <w:sz w:val="24"/>
              </w:rPr>
            </w:pPr>
            <w:r>
              <w:rPr>
                <w:rFonts w:ascii="宋体" w:hAnsi="宋体"/>
                <w:color w:val="000000"/>
                <w:sz w:val="24"/>
              </w:rPr>
              <w:t xml:space="preserve">      年    月    日</w:t>
            </w:r>
          </w:p>
        </w:tc>
      </w:tr>
      <w:tr>
        <w:tblPrEx>
          <w:tblCellMar>
            <w:top w:w="0" w:type="dxa"/>
            <w:left w:w="108" w:type="dxa"/>
            <w:bottom w:w="0" w:type="dxa"/>
            <w:right w:w="108" w:type="dxa"/>
          </w:tblCellMar>
        </w:tblPrEx>
        <w:trPr>
          <w:trHeight w:val="900" w:hRule="atLeast"/>
          <w:jc w:val="center"/>
        </w:trPr>
        <w:tc>
          <w:tcPr>
            <w:tcW w:w="8648" w:type="dxa"/>
            <w:gridSpan w:val="4"/>
            <w:tcBorders>
              <w:top w:val="single" w:color="000000" w:sz="4" w:space="0"/>
            </w:tcBorders>
            <w:vAlign w:val="center"/>
          </w:tcPr>
          <w:p>
            <w:pPr>
              <w:autoSpaceDN w:val="0"/>
              <w:ind w:firstLine="0" w:firstLineChars="0"/>
              <w:jc w:val="left"/>
              <w:textAlignment w:val="bottom"/>
              <w:rPr>
                <w:rFonts w:ascii="宋体" w:hAnsi="宋体"/>
                <w:color w:val="000000"/>
                <w:sz w:val="24"/>
              </w:rPr>
            </w:pPr>
            <w:r>
              <w:rPr>
                <w:rFonts w:ascii="宋体" w:hAnsi="宋体"/>
                <w:color w:val="000000"/>
                <w:sz w:val="24"/>
              </w:rPr>
              <w:t>注：1.纳入部门评价的项目须填写此表，自评项目无须填写；</w:t>
            </w:r>
            <w:r>
              <w:rPr>
                <w:rFonts w:ascii="宋体" w:hAnsi="宋体"/>
                <w:color w:val="000000"/>
                <w:sz w:val="24"/>
              </w:rPr>
              <w:br w:type="textWrapping"/>
            </w:r>
            <w:r>
              <w:rPr>
                <w:rFonts w:ascii="宋体" w:hAnsi="宋体"/>
                <w:color w:val="000000"/>
                <w:sz w:val="24"/>
              </w:rPr>
              <w:t xml:space="preserve">    2.评价小组须不低于3人，如未委托第三方中介机构，则最后一行无需填写；</w:t>
            </w:r>
            <w:r>
              <w:rPr>
                <w:rFonts w:ascii="宋体" w:hAnsi="宋体"/>
                <w:color w:val="000000"/>
                <w:sz w:val="24"/>
              </w:rPr>
              <w:br w:type="textWrapping"/>
            </w:r>
            <w:r>
              <w:rPr>
                <w:rFonts w:ascii="宋体" w:hAnsi="宋体"/>
                <w:color w:val="000000"/>
                <w:sz w:val="24"/>
              </w:rPr>
              <w:t xml:space="preserve">    3.所有评价人员必须亲笔签名，否则评价无效。</w:t>
            </w:r>
          </w:p>
        </w:tc>
      </w:tr>
    </w:tbl>
    <w:p>
      <w:pPr>
        <w:ind w:firstLine="560"/>
        <w:jc w:val="center"/>
        <w:rPr>
          <w:rFonts w:ascii="仿宋_GB2312"/>
          <w:szCs w:val="30"/>
        </w:rPr>
        <w:sectPr>
          <w:headerReference r:id="rId6" w:type="first"/>
          <w:headerReference r:id="rId5" w:type="default"/>
          <w:footerReference r:id="rId7" w:type="default"/>
          <w:pgSz w:w="11906" w:h="16838"/>
          <w:pgMar w:top="1928" w:right="1531" w:bottom="1701" w:left="1531" w:header="850" w:footer="992" w:gutter="0"/>
          <w:cols w:space="720" w:num="1"/>
          <w:titlePg/>
          <w:docGrid w:type="lines" w:linePitch="408" w:charSpace="0"/>
        </w:sectPr>
      </w:pPr>
    </w:p>
    <w:sdt>
      <w:sdtPr>
        <w:rPr>
          <w:rFonts w:ascii="宋体" w:hAnsi="宋体" w:eastAsia="宋体" w:cs="Times New Roman"/>
          <w:kern w:val="2"/>
          <w:sz w:val="21"/>
          <w:szCs w:val="24"/>
          <w:lang w:val="en-US" w:eastAsia="zh-CN" w:bidi="ar-SA"/>
        </w:rPr>
        <w:id w:val="147472037"/>
        <w15:color w:val="DBDBDB"/>
        <w:docPartObj>
          <w:docPartGallery w:val="Table of Contents"/>
          <w:docPartUnique/>
        </w:docPartObj>
      </w:sdtPr>
      <w:sdtEndPr>
        <w:rPr>
          <w:rFonts w:ascii="宋体" w:hAnsi="宋体" w:eastAsia="宋体" w:cs="Times New Roman"/>
          <w:b/>
          <w:kern w:val="2"/>
          <w:sz w:val="21"/>
          <w:szCs w:val="24"/>
          <w:lang w:val="en-US" w:eastAsia="zh-CN" w:bidi="ar-SA"/>
        </w:rPr>
      </w:sdtEndPr>
      <w:sdtContent>
        <w:p>
          <w:pPr>
            <w:keepNext w:val="0"/>
            <w:keepLines w:val="0"/>
            <w:pageBreakBefore w:val="0"/>
            <w:widowControl w:val="0"/>
            <w:kinsoku/>
            <w:wordWrap/>
            <w:overflowPunct/>
            <w:topLinePunct w:val="0"/>
            <w:autoSpaceDE/>
            <w:autoSpaceDN/>
            <w:bidi w:val="0"/>
            <w:adjustRightInd/>
            <w:snapToGrid/>
            <w:spacing w:before="0" w:beforeLines="0" w:after="0" w:afterLines="0" w:line="288" w:lineRule="auto"/>
            <w:ind w:left="0" w:leftChars="0" w:right="0" w:rightChars="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目</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录</w:t>
          </w:r>
        </w:p>
        <w:p>
          <w:pPr>
            <w:pStyle w:val="10"/>
            <w:keepNext w:val="0"/>
            <w:keepLines w:val="0"/>
            <w:pageBreakBefore w:val="0"/>
            <w:widowControl w:val="0"/>
            <w:tabs>
              <w:tab w:val="right" w:leader="dot" w:pos="8844"/>
            </w:tabs>
            <w:kinsoku/>
            <w:wordWrap/>
            <w:overflowPunct/>
            <w:topLinePunct w:val="0"/>
            <w:autoSpaceDE/>
            <w:autoSpaceDN/>
            <w:bidi w:val="0"/>
            <w:adjustRightInd/>
            <w:snapToGrid/>
            <w:spacing w:line="288" w:lineRule="auto"/>
            <w:ind w:firstLine="0" w:firstLineChars="0"/>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TOC \o "1-2" \h \u </w:instrText>
          </w:r>
          <w:r>
            <w:rPr>
              <w:rFonts w:hint="eastAsia" w:ascii="宋体" w:hAnsi="宋体" w:eastAsia="宋体" w:cs="宋体"/>
              <w:sz w:val="28"/>
              <w:szCs w:val="28"/>
            </w:rPr>
            <w:fldChar w:fldCharType="separate"/>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_Toc19310 </w:instrText>
          </w:r>
          <w:r>
            <w:rPr>
              <w:rFonts w:hint="eastAsia" w:ascii="宋体" w:hAnsi="宋体" w:eastAsia="宋体" w:cs="宋体"/>
              <w:sz w:val="28"/>
              <w:szCs w:val="28"/>
            </w:rPr>
            <w:fldChar w:fldCharType="separate"/>
          </w:r>
          <w:r>
            <w:rPr>
              <w:rFonts w:hint="eastAsia" w:ascii="宋体" w:hAnsi="宋体" w:eastAsia="宋体" w:cs="宋体"/>
              <w:bCs/>
              <w:sz w:val="28"/>
              <w:szCs w:val="28"/>
            </w:rPr>
            <w:t>前  言</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_Toc19310 \h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0"/>
            <w:keepNext w:val="0"/>
            <w:keepLines w:val="0"/>
            <w:pageBreakBefore w:val="0"/>
            <w:widowControl w:val="0"/>
            <w:tabs>
              <w:tab w:val="right" w:leader="dot" w:pos="8844"/>
            </w:tabs>
            <w:kinsoku/>
            <w:wordWrap/>
            <w:overflowPunct/>
            <w:topLinePunct w:val="0"/>
            <w:autoSpaceDE/>
            <w:autoSpaceDN/>
            <w:bidi w:val="0"/>
            <w:adjustRightInd/>
            <w:snapToGrid/>
            <w:spacing w:line="288" w:lineRule="auto"/>
            <w:ind w:firstLine="0" w:firstLineChars="0"/>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_Toc21075 </w:instrText>
          </w:r>
          <w:r>
            <w:rPr>
              <w:rFonts w:hint="eastAsia" w:ascii="宋体" w:hAnsi="宋体" w:eastAsia="宋体" w:cs="宋体"/>
              <w:sz w:val="28"/>
              <w:szCs w:val="28"/>
            </w:rPr>
            <w:fldChar w:fldCharType="separate"/>
          </w:r>
          <w:r>
            <w:rPr>
              <w:rFonts w:hint="eastAsia" w:ascii="宋体" w:hAnsi="宋体" w:eastAsia="宋体" w:cs="宋体"/>
              <w:sz w:val="28"/>
              <w:szCs w:val="28"/>
            </w:rPr>
            <w:t>一、基本情况</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_Toc21075 \h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keepNext w:val="0"/>
            <w:keepLines w:val="0"/>
            <w:pageBreakBefore w:val="0"/>
            <w:widowControl w:val="0"/>
            <w:tabs>
              <w:tab w:val="right" w:leader="dot" w:pos="8844"/>
            </w:tabs>
            <w:kinsoku/>
            <w:wordWrap/>
            <w:overflowPunct/>
            <w:topLinePunct w:val="0"/>
            <w:autoSpaceDE/>
            <w:autoSpaceDN/>
            <w:bidi w:val="0"/>
            <w:adjustRightInd/>
            <w:snapToGrid/>
            <w:spacing w:line="288" w:lineRule="auto"/>
            <w:ind w:left="0" w:leftChars="0" w:firstLine="0" w:firstLineChars="0"/>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_Toc9814 </w:instrText>
          </w:r>
          <w:r>
            <w:rPr>
              <w:rFonts w:hint="eastAsia" w:ascii="宋体" w:hAnsi="宋体" w:eastAsia="宋体" w:cs="宋体"/>
              <w:sz w:val="28"/>
              <w:szCs w:val="28"/>
            </w:rPr>
            <w:fldChar w:fldCharType="separate"/>
          </w:r>
          <w:r>
            <w:rPr>
              <w:rFonts w:hint="eastAsia" w:ascii="宋体" w:hAnsi="宋体" w:eastAsia="宋体" w:cs="宋体"/>
              <w:sz w:val="28"/>
              <w:szCs w:val="28"/>
            </w:rPr>
            <w:t>（一）项目概况</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_Toc9814 \h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keepNext w:val="0"/>
            <w:keepLines w:val="0"/>
            <w:pageBreakBefore w:val="0"/>
            <w:widowControl w:val="0"/>
            <w:tabs>
              <w:tab w:val="right" w:leader="dot" w:pos="8844"/>
            </w:tabs>
            <w:kinsoku/>
            <w:wordWrap/>
            <w:overflowPunct/>
            <w:topLinePunct w:val="0"/>
            <w:autoSpaceDE/>
            <w:autoSpaceDN/>
            <w:bidi w:val="0"/>
            <w:adjustRightInd/>
            <w:snapToGrid/>
            <w:spacing w:line="288" w:lineRule="auto"/>
            <w:ind w:left="0" w:leftChars="0" w:firstLine="0" w:firstLineChars="0"/>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_Toc27110 </w:instrText>
          </w:r>
          <w:r>
            <w:rPr>
              <w:rFonts w:hint="eastAsia" w:ascii="宋体" w:hAnsi="宋体" w:eastAsia="宋体" w:cs="宋体"/>
              <w:sz w:val="28"/>
              <w:szCs w:val="28"/>
            </w:rPr>
            <w:fldChar w:fldCharType="separate"/>
          </w:r>
          <w:r>
            <w:rPr>
              <w:rFonts w:hint="eastAsia" w:ascii="宋体" w:hAnsi="宋体" w:eastAsia="宋体" w:cs="宋体"/>
              <w:sz w:val="28"/>
              <w:szCs w:val="28"/>
            </w:rPr>
            <w:t>（二）项目绩效目标</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_Toc27110 \h </w:instrText>
          </w:r>
          <w:r>
            <w:rPr>
              <w:rFonts w:hint="eastAsia" w:ascii="宋体" w:hAnsi="宋体" w:eastAsia="宋体" w:cs="宋体"/>
              <w:sz w:val="28"/>
              <w:szCs w:val="28"/>
            </w:rPr>
            <w:fldChar w:fldCharType="separate"/>
          </w:r>
          <w:r>
            <w:rPr>
              <w:rFonts w:hint="eastAsia" w:ascii="宋体" w:hAnsi="宋体" w:eastAsia="宋体" w:cs="宋体"/>
              <w:sz w:val="28"/>
              <w:szCs w:val="28"/>
            </w:rPr>
            <w:t>7</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0"/>
            <w:keepNext w:val="0"/>
            <w:keepLines w:val="0"/>
            <w:pageBreakBefore w:val="0"/>
            <w:widowControl w:val="0"/>
            <w:tabs>
              <w:tab w:val="right" w:leader="dot" w:pos="8844"/>
            </w:tabs>
            <w:kinsoku/>
            <w:wordWrap/>
            <w:overflowPunct/>
            <w:topLinePunct w:val="0"/>
            <w:autoSpaceDE/>
            <w:autoSpaceDN/>
            <w:bidi w:val="0"/>
            <w:adjustRightInd/>
            <w:snapToGrid/>
            <w:spacing w:line="288" w:lineRule="auto"/>
            <w:ind w:firstLine="0" w:firstLineChars="0"/>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_Toc13150 </w:instrText>
          </w:r>
          <w:r>
            <w:rPr>
              <w:rFonts w:hint="eastAsia" w:ascii="宋体" w:hAnsi="宋体" w:eastAsia="宋体" w:cs="宋体"/>
              <w:sz w:val="28"/>
              <w:szCs w:val="28"/>
            </w:rPr>
            <w:fldChar w:fldCharType="separate"/>
          </w:r>
          <w:r>
            <w:rPr>
              <w:rFonts w:hint="eastAsia" w:ascii="宋体" w:hAnsi="宋体" w:eastAsia="宋体" w:cs="宋体"/>
              <w:sz w:val="28"/>
              <w:szCs w:val="28"/>
            </w:rPr>
            <w:t>二、绩效评价工作开展情况</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_Toc13150 \h </w:instrText>
          </w:r>
          <w:r>
            <w:rPr>
              <w:rFonts w:hint="eastAsia" w:ascii="宋体" w:hAnsi="宋体" w:eastAsia="宋体" w:cs="宋体"/>
              <w:sz w:val="28"/>
              <w:szCs w:val="28"/>
            </w:rPr>
            <w:fldChar w:fldCharType="separate"/>
          </w:r>
          <w:r>
            <w:rPr>
              <w:rFonts w:hint="eastAsia" w:ascii="宋体" w:hAnsi="宋体" w:eastAsia="宋体" w:cs="宋体"/>
              <w:sz w:val="28"/>
              <w:szCs w:val="28"/>
            </w:rPr>
            <w:t>8</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keepNext w:val="0"/>
            <w:keepLines w:val="0"/>
            <w:pageBreakBefore w:val="0"/>
            <w:widowControl w:val="0"/>
            <w:tabs>
              <w:tab w:val="right" w:leader="dot" w:pos="8844"/>
            </w:tabs>
            <w:kinsoku/>
            <w:wordWrap/>
            <w:overflowPunct/>
            <w:topLinePunct w:val="0"/>
            <w:autoSpaceDE/>
            <w:autoSpaceDN/>
            <w:bidi w:val="0"/>
            <w:adjustRightInd/>
            <w:snapToGrid/>
            <w:spacing w:line="288" w:lineRule="auto"/>
            <w:ind w:left="0" w:leftChars="0" w:firstLine="0" w:firstLineChars="0"/>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_Toc25005 </w:instrText>
          </w:r>
          <w:r>
            <w:rPr>
              <w:rFonts w:hint="eastAsia" w:ascii="宋体" w:hAnsi="宋体" w:eastAsia="宋体" w:cs="宋体"/>
              <w:sz w:val="28"/>
              <w:szCs w:val="28"/>
            </w:rPr>
            <w:fldChar w:fldCharType="separate"/>
          </w:r>
          <w:r>
            <w:rPr>
              <w:rFonts w:hint="eastAsia" w:ascii="宋体" w:hAnsi="宋体" w:eastAsia="宋体" w:cs="宋体"/>
              <w:sz w:val="28"/>
              <w:szCs w:val="28"/>
            </w:rPr>
            <w:t>（一）绩效评价目的、对象和范围</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_Toc25005 \h </w:instrText>
          </w:r>
          <w:r>
            <w:rPr>
              <w:rFonts w:hint="eastAsia" w:ascii="宋体" w:hAnsi="宋体" w:eastAsia="宋体" w:cs="宋体"/>
              <w:sz w:val="28"/>
              <w:szCs w:val="28"/>
            </w:rPr>
            <w:fldChar w:fldCharType="separate"/>
          </w:r>
          <w:r>
            <w:rPr>
              <w:rFonts w:hint="eastAsia" w:ascii="宋体" w:hAnsi="宋体" w:eastAsia="宋体" w:cs="宋体"/>
              <w:sz w:val="28"/>
              <w:szCs w:val="28"/>
            </w:rPr>
            <w:t>8</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keepNext w:val="0"/>
            <w:keepLines w:val="0"/>
            <w:pageBreakBefore w:val="0"/>
            <w:widowControl w:val="0"/>
            <w:tabs>
              <w:tab w:val="right" w:leader="dot" w:pos="8844"/>
            </w:tabs>
            <w:kinsoku/>
            <w:wordWrap/>
            <w:overflowPunct/>
            <w:topLinePunct w:val="0"/>
            <w:autoSpaceDE/>
            <w:autoSpaceDN/>
            <w:bidi w:val="0"/>
            <w:adjustRightInd/>
            <w:snapToGrid/>
            <w:spacing w:line="288" w:lineRule="auto"/>
            <w:ind w:left="0" w:leftChars="0" w:firstLine="0" w:firstLineChars="0"/>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_Toc8456 </w:instrText>
          </w:r>
          <w:r>
            <w:rPr>
              <w:rFonts w:hint="eastAsia" w:ascii="宋体" w:hAnsi="宋体" w:eastAsia="宋体" w:cs="宋体"/>
              <w:sz w:val="28"/>
              <w:szCs w:val="28"/>
            </w:rPr>
            <w:fldChar w:fldCharType="separate"/>
          </w:r>
          <w:r>
            <w:rPr>
              <w:rFonts w:hint="eastAsia" w:ascii="宋体" w:hAnsi="宋体" w:eastAsia="宋体" w:cs="宋体"/>
              <w:sz w:val="28"/>
              <w:szCs w:val="28"/>
            </w:rPr>
            <w:t>（二）绩效评价原则、评价指标体系、评价方法、评价标准等</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_Toc8456 \h </w:instrText>
          </w:r>
          <w:r>
            <w:rPr>
              <w:rFonts w:hint="eastAsia" w:ascii="宋体" w:hAnsi="宋体" w:eastAsia="宋体" w:cs="宋体"/>
              <w:sz w:val="28"/>
              <w:szCs w:val="28"/>
            </w:rPr>
            <w:fldChar w:fldCharType="separate"/>
          </w:r>
          <w:r>
            <w:rPr>
              <w:rFonts w:hint="eastAsia" w:ascii="宋体" w:hAnsi="宋体" w:eastAsia="宋体" w:cs="宋体"/>
              <w:sz w:val="28"/>
              <w:szCs w:val="28"/>
            </w:rPr>
            <w:t>9</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keepNext w:val="0"/>
            <w:keepLines w:val="0"/>
            <w:pageBreakBefore w:val="0"/>
            <w:widowControl w:val="0"/>
            <w:tabs>
              <w:tab w:val="right" w:leader="dot" w:pos="8844"/>
            </w:tabs>
            <w:kinsoku/>
            <w:wordWrap/>
            <w:overflowPunct/>
            <w:topLinePunct w:val="0"/>
            <w:autoSpaceDE/>
            <w:autoSpaceDN/>
            <w:bidi w:val="0"/>
            <w:adjustRightInd/>
            <w:snapToGrid/>
            <w:spacing w:line="288" w:lineRule="auto"/>
            <w:ind w:left="0" w:leftChars="0" w:firstLine="0" w:firstLineChars="0"/>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_Toc1231 </w:instrText>
          </w:r>
          <w:r>
            <w:rPr>
              <w:rFonts w:hint="eastAsia" w:ascii="宋体" w:hAnsi="宋体" w:eastAsia="宋体" w:cs="宋体"/>
              <w:sz w:val="28"/>
              <w:szCs w:val="28"/>
            </w:rPr>
            <w:fldChar w:fldCharType="separate"/>
          </w:r>
          <w:r>
            <w:rPr>
              <w:rFonts w:hint="eastAsia" w:ascii="宋体" w:hAnsi="宋体" w:eastAsia="宋体" w:cs="宋体"/>
              <w:sz w:val="28"/>
              <w:szCs w:val="28"/>
            </w:rPr>
            <w:t>（三） 绩效评价工作过程</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_Toc1231 \h </w:instrText>
          </w:r>
          <w:r>
            <w:rPr>
              <w:rFonts w:hint="eastAsia" w:ascii="宋体" w:hAnsi="宋体" w:eastAsia="宋体" w:cs="宋体"/>
              <w:sz w:val="28"/>
              <w:szCs w:val="28"/>
            </w:rPr>
            <w:fldChar w:fldCharType="separate"/>
          </w:r>
          <w:r>
            <w:rPr>
              <w:rFonts w:hint="eastAsia" w:ascii="宋体" w:hAnsi="宋体" w:eastAsia="宋体" w:cs="宋体"/>
              <w:sz w:val="28"/>
              <w:szCs w:val="28"/>
            </w:rPr>
            <w:t>15</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0"/>
            <w:keepNext w:val="0"/>
            <w:keepLines w:val="0"/>
            <w:pageBreakBefore w:val="0"/>
            <w:widowControl w:val="0"/>
            <w:tabs>
              <w:tab w:val="right" w:leader="dot" w:pos="8844"/>
            </w:tabs>
            <w:kinsoku/>
            <w:wordWrap/>
            <w:overflowPunct/>
            <w:topLinePunct w:val="0"/>
            <w:autoSpaceDE/>
            <w:autoSpaceDN/>
            <w:bidi w:val="0"/>
            <w:adjustRightInd/>
            <w:snapToGrid/>
            <w:spacing w:line="288" w:lineRule="auto"/>
            <w:ind w:firstLine="0" w:firstLineChars="0"/>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_Toc12774 </w:instrText>
          </w:r>
          <w:r>
            <w:rPr>
              <w:rFonts w:hint="eastAsia" w:ascii="宋体" w:hAnsi="宋体" w:eastAsia="宋体" w:cs="宋体"/>
              <w:sz w:val="28"/>
              <w:szCs w:val="28"/>
            </w:rPr>
            <w:fldChar w:fldCharType="separate"/>
          </w:r>
          <w:r>
            <w:rPr>
              <w:rFonts w:hint="eastAsia" w:ascii="宋体" w:hAnsi="宋体" w:eastAsia="宋体" w:cs="宋体"/>
              <w:sz w:val="28"/>
              <w:szCs w:val="28"/>
            </w:rPr>
            <w:t>三、综合评价情况及评价结论</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_Toc12774 \h </w:instrText>
          </w:r>
          <w:r>
            <w:rPr>
              <w:rFonts w:hint="eastAsia" w:ascii="宋体" w:hAnsi="宋体" w:eastAsia="宋体" w:cs="宋体"/>
              <w:sz w:val="28"/>
              <w:szCs w:val="28"/>
            </w:rPr>
            <w:fldChar w:fldCharType="separate"/>
          </w:r>
          <w:r>
            <w:rPr>
              <w:rFonts w:hint="eastAsia" w:ascii="宋体" w:hAnsi="宋体" w:eastAsia="宋体" w:cs="宋体"/>
              <w:sz w:val="28"/>
              <w:szCs w:val="28"/>
            </w:rPr>
            <w:t>18</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keepNext w:val="0"/>
            <w:keepLines w:val="0"/>
            <w:pageBreakBefore w:val="0"/>
            <w:widowControl w:val="0"/>
            <w:tabs>
              <w:tab w:val="right" w:leader="dot" w:pos="8844"/>
            </w:tabs>
            <w:kinsoku/>
            <w:wordWrap/>
            <w:overflowPunct/>
            <w:topLinePunct w:val="0"/>
            <w:autoSpaceDE/>
            <w:autoSpaceDN/>
            <w:bidi w:val="0"/>
            <w:adjustRightInd/>
            <w:snapToGrid/>
            <w:spacing w:line="288" w:lineRule="auto"/>
            <w:ind w:left="0" w:leftChars="0" w:firstLine="0" w:firstLineChars="0"/>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_Toc10124 </w:instrText>
          </w:r>
          <w:r>
            <w:rPr>
              <w:rFonts w:hint="eastAsia" w:ascii="宋体" w:hAnsi="宋体" w:eastAsia="宋体" w:cs="宋体"/>
              <w:sz w:val="28"/>
              <w:szCs w:val="28"/>
            </w:rPr>
            <w:fldChar w:fldCharType="separate"/>
          </w:r>
          <w:r>
            <w:rPr>
              <w:rFonts w:hint="eastAsia" w:ascii="宋体" w:hAnsi="宋体" w:eastAsia="宋体" w:cs="宋体"/>
              <w:sz w:val="28"/>
              <w:szCs w:val="28"/>
              <w:lang w:val="en-US" w:eastAsia="zh-CN"/>
            </w:rPr>
            <w:t>（一）综合评价情况</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_Toc10124 \h </w:instrText>
          </w:r>
          <w:r>
            <w:rPr>
              <w:rFonts w:hint="eastAsia" w:ascii="宋体" w:hAnsi="宋体" w:eastAsia="宋体" w:cs="宋体"/>
              <w:sz w:val="28"/>
              <w:szCs w:val="28"/>
            </w:rPr>
            <w:fldChar w:fldCharType="separate"/>
          </w:r>
          <w:r>
            <w:rPr>
              <w:rFonts w:hint="eastAsia" w:ascii="宋体" w:hAnsi="宋体" w:eastAsia="宋体" w:cs="宋体"/>
              <w:sz w:val="28"/>
              <w:szCs w:val="28"/>
            </w:rPr>
            <w:t>18</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keepNext w:val="0"/>
            <w:keepLines w:val="0"/>
            <w:pageBreakBefore w:val="0"/>
            <w:widowControl w:val="0"/>
            <w:tabs>
              <w:tab w:val="right" w:leader="dot" w:pos="8844"/>
            </w:tabs>
            <w:kinsoku/>
            <w:wordWrap/>
            <w:overflowPunct/>
            <w:topLinePunct w:val="0"/>
            <w:autoSpaceDE/>
            <w:autoSpaceDN/>
            <w:bidi w:val="0"/>
            <w:adjustRightInd/>
            <w:snapToGrid/>
            <w:spacing w:line="288" w:lineRule="auto"/>
            <w:ind w:left="0" w:leftChars="0" w:firstLine="0" w:firstLineChars="0"/>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_Toc32070 </w:instrText>
          </w:r>
          <w:r>
            <w:rPr>
              <w:rFonts w:hint="eastAsia" w:ascii="宋体" w:hAnsi="宋体" w:eastAsia="宋体" w:cs="宋体"/>
              <w:sz w:val="28"/>
              <w:szCs w:val="28"/>
            </w:rPr>
            <w:fldChar w:fldCharType="separate"/>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二</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评价结论</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_Toc32070 \h </w:instrText>
          </w:r>
          <w:r>
            <w:rPr>
              <w:rFonts w:hint="eastAsia" w:ascii="宋体" w:hAnsi="宋体" w:eastAsia="宋体" w:cs="宋体"/>
              <w:sz w:val="28"/>
              <w:szCs w:val="28"/>
            </w:rPr>
            <w:fldChar w:fldCharType="separate"/>
          </w:r>
          <w:r>
            <w:rPr>
              <w:rFonts w:hint="eastAsia" w:ascii="宋体" w:hAnsi="宋体" w:eastAsia="宋体" w:cs="宋体"/>
              <w:sz w:val="28"/>
              <w:szCs w:val="28"/>
            </w:rPr>
            <w:t>19</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0"/>
            <w:keepNext w:val="0"/>
            <w:keepLines w:val="0"/>
            <w:pageBreakBefore w:val="0"/>
            <w:widowControl w:val="0"/>
            <w:tabs>
              <w:tab w:val="right" w:leader="dot" w:pos="8844"/>
            </w:tabs>
            <w:kinsoku/>
            <w:wordWrap/>
            <w:overflowPunct/>
            <w:topLinePunct w:val="0"/>
            <w:autoSpaceDE/>
            <w:autoSpaceDN/>
            <w:bidi w:val="0"/>
            <w:adjustRightInd/>
            <w:snapToGrid/>
            <w:spacing w:line="288" w:lineRule="auto"/>
            <w:ind w:firstLine="0" w:firstLineChars="0"/>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_Toc4042 </w:instrText>
          </w:r>
          <w:r>
            <w:rPr>
              <w:rFonts w:hint="eastAsia" w:ascii="宋体" w:hAnsi="宋体" w:eastAsia="宋体" w:cs="宋体"/>
              <w:sz w:val="28"/>
              <w:szCs w:val="28"/>
            </w:rPr>
            <w:fldChar w:fldCharType="separate"/>
          </w:r>
          <w:r>
            <w:rPr>
              <w:rFonts w:hint="eastAsia" w:ascii="宋体" w:hAnsi="宋体" w:eastAsia="宋体" w:cs="宋体"/>
              <w:sz w:val="28"/>
              <w:szCs w:val="28"/>
            </w:rPr>
            <w:t>四、绩效评价指标分析</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_Toc4042 \h </w:instrText>
          </w:r>
          <w:r>
            <w:rPr>
              <w:rFonts w:hint="eastAsia" w:ascii="宋体" w:hAnsi="宋体" w:eastAsia="宋体" w:cs="宋体"/>
              <w:sz w:val="28"/>
              <w:szCs w:val="28"/>
            </w:rPr>
            <w:fldChar w:fldCharType="separate"/>
          </w:r>
          <w:r>
            <w:rPr>
              <w:rFonts w:hint="eastAsia" w:ascii="宋体" w:hAnsi="宋体" w:eastAsia="宋体" w:cs="宋体"/>
              <w:sz w:val="28"/>
              <w:szCs w:val="28"/>
            </w:rPr>
            <w:t>20</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keepNext w:val="0"/>
            <w:keepLines w:val="0"/>
            <w:pageBreakBefore w:val="0"/>
            <w:widowControl w:val="0"/>
            <w:tabs>
              <w:tab w:val="right" w:leader="dot" w:pos="8844"/>
            </w:tabs>
            <w:kinsoku/>
            <w:wordWrap/>
            <w:overflowPunct/>
            <w:topLinePunct w:val="0"/>
            <w:autoSpaceDE/>
            <w:autoSpaceDN/>
            <w:bidi w:val="0"/>
            <w:adjustRightInd/>
            <w:snapToGrid/>
            <w:spacing w:line="288" w:lineRule="auto"/>
            <w:ind w:left="0" w:leftChars="0" w:firstLine="0" w:firstLineChars="0"/>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_Toc13850 </w:instrText>
          </w:r>
          <w:r>
            <w:rPr>
              <w:rFonts w:hint="eastAsia" w:ascii="宋体" w:hAnsi="宋体" w:eastAsia="宋体" w:cs="宋体"/>
              <w:sz w:val="28"/>
              <w:szCs w:val="28"/>
            </w:rPr>
            <w:fldChar w:fldCharType="separate"/>
          </w:r>
          <w:r>
            <w:rPr>
              <w:rFonts w:hint="eastAsia" w:ascii="宋体" w:hAnsi="宋体" w:eastAsia="宋体" w:cs="宋体"/>
              <w:sz w:val="28"/>
              <w:szCs w:val="28"/>
            </w:rPr>
            <w:t>（一）项目决策情况</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_Toc13850 \h </w:instrText>
          </w:r>
          <w:r>
            <w:rPr>
              <w:rFonts w:hint="eastAsia" w:ascii="宋体" w:hAnsi="宋体" w:eastAsia="宋体" w:cs="宋体"/>
              <w:sz w:val="28"/>
              <w:szCs w:val="28"/>
            </w:rPr>
            <w:fldChar w:fldCharType="separate"/>
          </w:r>
          <w:r>
            <w:rPr>
              <w:rFonts w:hint="eastAsia" w:ascii="宋体" w:hAnsi="宋体" w:eastAsia="宋体" w:cs="宋体"/>
              <w:sz w:val="28"/>
              <w:szCs w:val="28"/>
            </w:rPr>
            <w:t>20</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keepNext w:val="0"/>
            <w:keepLines w:val="0"/>
            <w:pageBreakBefore w:val="0"/>
            <w:widowControl w:val="0"/>
            <w:tabs>
              <w:tab w:val="right" w:leader="dot" w:pos="8844"/>
            </w:tabs>
            <w:kinsoku/>
            <w:wordWrap/>
            <w:overflowPunct/>
            <w:topLinePunct w:val="0"/>
            <w:autoSpaceDE/>
            <w:autoSpaceDN/>
            <w:bidi w:val="0"/>
            <w:adjustRightInd/>
            <w:snapToGrid/>
            <w:spacing w:line="288" w:lineRule="auto"/>
            <w:ind w:left="0" w:leftChars="0" w:firstLine="0" w:firstLineChars="0"/>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_Toc7879 </w:instrText>
          </w:r>
          <w:r>
            <w:rPr>
              <w:rFonts w:hint="eastAsia" w:ascii="宋体" w:hAnsi="宋体" w:eastAsia="宋体" w:cs="宋体"/>
              <w:sz w:val="28"/>
              <w:szCs w:val="28"/>
            </w:rPr>
            <w:fldChar w:fldCharType="separate"/>
          </w:r>
          <w:r>
            <w:rPr>
              <w:rFonts w:hint="eastAsia" w:ascii="宋体" w:hAnsi="宋体" w:eastAsia="宋体" w:cs="宋体"/>
              <w:sz w:val="28"/>
              <w:szCs w:val="28"/>
            </w:rPr>
            <w:t>（二）项目过程情况</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_Toc7879 \h </w:instrText>
          </w:r>
          <w:r>
            <w:rPr>
              <w:rFonts w:hint="eastAsia" w:ascii="宋体" w:hAnsi="宋体" w:eastAsia="宋体" w:cs="宋体"/>
              <w:sz w:val="28"/>
              <w:szCs w:val="28"/>
            </w:rPr>
            <w:fldChar w:fldCharType="separate"/>
          </w:r>
          <w:r>
            <w:rPr>
              <w:rFonts w:hint="eastAsia" w:ascii="宋体" w:hAnsi="宋体" w:eastAsia="宋体" w:cs="宋体"/>
              <w:sz w:val="28"/>
              <w:szCs w:val="28"/>
            </w:rPr>
            <w:t>22</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keepNext w:val="0"/>
            <w:keepLines w:val="0"/>
            <w:pageBreakBefore w:val="0"/>
            <w:widowControl w:val="0"/>
            <w:tabs>
              <w:tab w:val="right" w:leader="dot" w:pos="8844"/>
            </w:tabs>
            <w:kinsoku/>
            <w:wordWrap/>
            <w:overflowPunct/>
            <w:topLinePunct w:val="0"/>
            <w:autoSpaceDE/>
            <w:autoSpaceDN/>
            <w:bidi w:val="0"/>
            <w:adjustRightInd/>
            <w:snapToGrid/>
            <w:spacing w:line="288" w:lineRule="auto"/>
            <w:ind w:left="0" w:leftChars="0" w:firstLine="0" w:firstLineChars="0"/>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_Toc12888 </w:instrText>
          </w:r>
          <w:r>
            <w:rPr>
              <w:rFonts w:hint="eastAsia" w:ascii="宋体" w:hAnsi="宋体" w:eastAsia="宋体" w:cs="宋体"/>
              <w:sz w:val="28"/>
              <w:szCs w:val="28"/>
            </w:rPr>
            <w:fldChar w:fldCharType="separate"/>
          </w:r>
          <w:r>
            <w:rPr>
              <w:rFonts w:hint="eastAsia" w:ascii="宋体" w:hAnsi="宋体" w:eastAsia="宋体" w:cs="宋体"/>
              <w:sz w:val="28"/>
              <w:szCs w:val="28"/>
            </w:rPr>
            <w:t>（三）项目产出情况</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_Toc12888 \h </w:instrText>
          </w:r>
          <w:r>
            <w:rPr>
              <w:rFonts w:hint="eastAsia" w:ascii="宋体" w:hAnsi="宋体" w:eastAsia="宋体" w:cs="宋体"/>
              <w:sz w:val="28"/>
              <w:szCs w:val="28"/>
            </w:rPr>
            <w:fldChar w:fldCharType="separate"/>
          </w:r>
          <w:r>
            <w:rPr>
              <w:rFonts w:hint="eastAsia" w:ascii="宋体" w:hAnsi="宋体" w:eastAsia="宋体" w:cs="宋体"/>
              <w:sz w:val="28"/>
              <w:szCs w:val="28"/>
            </w:rPr>
            <w:t>24</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keepNext w:val="0"/>
            <w:keepLines w:val="0"/>
            <w:pageBreakBefore w:val="0"/>
            <w:widowControl w:val="0"/>
            <w:tabs>
              <w:tab w:val="right" w:leader="dot" w:pos="8844"/>
            </w:tabs>
            <w:kinsoku/>
            <w:wordWrap/>
            <w:overflowPunct/>
            <w:topLinePunct w:val="0"/>
            <w:autoSpaceDE/>
            <w:autoSpaceDN/>
            <w:bidi w:val="0"/>
            <w:adjustRightInd/>
            <w:snapToGrid/>
            <w:spacing w:line="288" w:lineRule="auto"/>
            <w:ind w:left="0" w:leftChars="0" w:firstLine="0" w:firstLineChars="0"/>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_Toc11660 </w:instrText>
          </w:r>
          <w:r>
            <w:rPr>
              <w:rFonts w:hint="eastAsia" w:ascii="宋体" w:hAnsi="宋体" w:eastAsia="宋体" w:cs="宋体"/>
              <w:sz w:val="28"/>
              <w:szCs w:val="28"/>
            </w:rPr>
            <w:fldChar w:fldCharType="separate"/>
          </w:r>
          <w:r>
            <w:rPr>
              <w:rFonts w:hint="eastAsia" w:ascii="宋体" w:hAnsi="宋体" w:eastAsia="宋体" w:cs="宋体"/>
              <w:sz w:val="28"/>
              <w:szCs w:val="28"/>
            </w:rPr>
            <w:t>（四）项目效益情况</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_Toc11660 \h </w:instrText>
          </w:r>
          <w:r>
            <w:rPr>
              <w:rFonts w:hint="eastAsia" w:ascii="宋体" w:hAnsi="宋体" w:eastAsia="宋体" w:cs="宋体"/>
              <w:sz w:val="28"/>
              <w:szCs w:val="28"/>
            </w:rPr>
            <w:fldChar w:fldCharType="separate"/>
          </w:r>
          <w:r>
            <w:rPr>
              <w:rFonts w:hint="eastAsia" w:ascii="宋体" w:hAnsi="宋体" w:eastAsia="宋体" w:cs="宋体"/>
              <w:sz w:val="28"/>
              <w:szCs w:val="28"/>
            </w:rPr>
            <w:t>28</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0"/>
            <w:keepNext w:val="0"/>
            <w:keepLines w:val="0"/>
            <w:pageBreakBefore w:val="0"/>
            <w:widowControl w:val="0"/>
            <w:tabs>
              <w:tab w:val="right" w:leader="dot" w:pos="8844"/>
            </w:tabs>
            <w:kinsoku/>
            <w:wordWrap/>
            <w:overflowPunct/>
            <w:topLinePunct w:val="0"/>
            <w:autoSpaceDE/>
            <w:autoSpaceDN/>
            <w:bidi w:val="0"/>
            <w:adjustRightInd/>
            <w:snapToGrid/>
            <w:spacing w:line="288" w:lineRule="auto"/>
            <w:ind w:firstLine="0" w:firstLineChars="0"/>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_Toc32296 </w:instrText>
          </w:r>
          <w:r>
            <w:rPr>
              <w:rFonts w:hint="eastAsia" w:ascii="宋体" w:hAnsi="宋体" w:eastAsia="宋体" w:cs="宋体"/>
              <w:sz w:val="28"/>
              <w:szCs w:val="28"/>
            </w:rPr>
            <w:fldChar w:fldCharType="separate"/>
          </w:r>
          <w:r>
            <w:rPr>
              <w:rFonts w:hint="eastAsia" w:ascii="宋体" w:hAnsi="宋体" w:eastAsia="宋体" w:cs="宋体"/>
              <w:sz w:val="28"/>
              <w:szCs w:val="28"/>
            </w:rPr>
            <w:t>五、主要经验及做法、存在的问题及原因分析</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_Toc32296 \h </w:instrText>
          </w:r>
          <w:r>
            <w:rPr>
              <w:rFonts w:hint="eastAsia" w:ascii="宋体" w:hAnsi="宋体" w:eastAsia="宋体" w:cs="宋体"/>
              <w:sz w:val="28"/>
              <w:szCs w:val="28"/>
            </w:rPr>
            <w:fldChar w:fldCharType="separate"/>
          </w:r>
          <w:r>
            <w:rPr>
              <w:rFonts w:hint="eastAsia" w:ascii="宋体" w:hAnsi="宋体" w:eastAsia="宋体" w:cs="宋体"/>
              <w:sz w:val="28"/>
              <w:szCs w:val="28"/>
            </w:rPr>
            <w:t>30</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keepNext w:val="0"/>
            <w:keepLines w:val="0"/>
            <w:pageBreakBefore w:val="0"/>
            <w:widowControl w:val="0"/>
            <w:tabs>
              <w:tab w:val="right" w:leader="dot" w:pos="8844"/>
            </w:tabs>
            <w:kinsoku/>
            <w:wordWrap/>
            <w:overflowPunct/>
            <w:topLinePunct w:val="0"/>
            <w:autoSpaceDE/>
            <w:autoSpaceDN/>
            <w:bidi w:val="0"/>
            <w:adjustRightInd/>
            <w:snapToGrid/>
            <w:spacing w:line="288" w:lineRule="auto"/>
            <w:ind w:left="0" w:leftChars="0" w:firstLine="0" w:firstLineChars="0"/>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_Toc23005 </w:instrText>
          </w:r>
          <w:r>
            <w:rPr>
              <w:rFonts w:hint="eastAsia" w:ascii="宋体" w:hAnsi="宋体" w:eastAsia="宋体" w:cs="宋体"/>
              <w:sz w:val="28"/>
              <w:szCs w:val="28"/>
            </w:rPr>
            <w:fldChar w:fldCharType="separate"/>
          </w:r>
          <w:r>
            <w:rPr>
              <w:rFonts w:hint="eastAsia" w:ascii="宋体" w:hAnsi="宋体" w:eastAsia="宋体" w:cs="宋体"/>
              <w:sz w:val="28"/>
              <w:szCs w:val="28"/>
            </w:rPr>
            <w:t>（一）主要经验及做法</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_Toc23005 \h </w:instrText>
          </w:r>
          <w:r>
            <w:rPr>
              <w:rFonts w:hint="eastAsia" w:ascii="宋体" w:hAnsi="宋体" w:eastAsia="宋体" w:cs="宋体"/>
              <w:sz w:val="28"/>
              <w:szCs w:val="28"/>
            </w:rPr>
            <w:fldChar w:fldCharType="separate"/>
          </w:r>
          <w:r>
            <w:rPr>
              <w:rFonts w:hint="eastAsia" w:ascii="宋体" w:hAnsi="宋体" w:eastAsia="宋体" w:cs="宋体"/>
              <w:sz w:val="28"/>
              <w:szCs w:val="28"/>
            </w:rPr>
            <w:t>30</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keepNext w:val="0"/>
            <w:keepLines w:val="0"/>
            <w:pageBreakBefore w:val="0"/>
            <w:widowControl w:val="0"/>
            <w:tabs>
              <w:tab w:val="right" w:leader="dot" w:pos="8844"/>
            </w:tabs>
            <w:kinsoku/>
            <w:wordWrap/>
            <w:overflowPunct/>
            <w:topLinePunct w:val="0"/>
            <w:autoSpaceDE/>
            <w:autoSpaceDN/>
            <w:bidi w:val="0"/>
            <w:adjustRightInd/>
            <w:snapToGrid/>
            <w:spacing w:line="288" w:lineRule="auto"/>
            <w:ind w:left="0" w:leftChars="0" w:firstLine="0" w:firstLineChars="0"/>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_Toc24975 </w:instrText>
          </w:r>
          <w:r>
            <w:rPr>
              <w:rFonts w:hint="eastAsia" w:ascii="宋体" w:hAnsi="宋体" w:eastAsia="宋体" w:cs="宋体"/>
              <w:sz w:val="28"/>
              <w:szCs w:val="28"/>
            </w:rPr>
            <w:fldChar w:fldCharType="separate"/>
          </w:r>
          <w:r>
            <w:rPr>
              <w:rFonts w:hint="eastAsia" w:ascii="宋体" w:hAnsi="宋体" w:eastAsia="宋体" w:cs="宋体"/>
              <w:sz w:val="28"/>
              <w:szCs w:val="28"/>
            </w:rPr>
            <w:t>（二）存在的问题及原因分析</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_Toc24975 \h </w:instrText>
          </w:r>
          <w:r>
            <w:rPr>
              <w:rFonts w:hint="eastAsia" w:ascii="宋体" w:hAnsi="宋体" w:eastAsia="宋体" w:cs="宋体"/>
              <w:sz w:val="28"/>
              <w:szCs w:val="28"/>
            </w:rPr>
            <w:fldChar w:fldCharType="separate"/>
          </w:r>
          <w:r>
            <w:rPr>
              <w:rFonts w:hint="eastAsia" w:ascii="宋体" w:hAnsi="宋体" w:eastAsia="宋体" w:cs="宋体"/>
              <w:sz w:val="28"/>
              <w:szCs w:val="28"/>
            </w:rPr>
            <w:t>31</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0"/>
            <w:keepNext w:val="0"/>
            <w:keepLines w:val="0"/>
            <w:pageBreakBefore w:val="0"/>
            <w:widowControl w:val="0"/>
            <w:tabs>
              <w:tab w:val="right" w:leader="dot" w:pos="8844"/>
            </w:tabs>
            <w:kinsoku/>
            <w:wordWrap/>
            <w:overflowPunct/>
            <w:topLinePunct w:val="0"/>
            <w:autoSpaceDE/>
            <w:autoSpaceDN/>
            <w:bidi w:val="0"/>
            <w:adjustRightInd/>
            <w:snapToGrid/>
            <w:spacing w:line="288" w:lineRule="auto"/>
            <w:ind w:firstLine="0" w:firstLineChars="0"/>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_Toc12213 </w:instrText>
          </w:r>
          <w:r>
            <w:rPr>
              <w:rFonts w:hint="eastAsia" w:ascii="宋体" w:hAnsi="宋体" w:eastAsia="宋体" w:cs="宋体"/>
              <w:sz w:val="28"/>
              <w:szCs w:val="28"/>
            </w:rPr>
            <w:fldChar w:fldCharType="separate"/>
          </w:r>
          <w:r>
            <w:rPr>
              <w:rFonts w:hint="eastAsia" w:ascii="宋体" w:hAnsi="宋体" w:eastAsia="宋体" w:cs="宋体"/>
              <w:sz w:val="28"/>
              <w:szCs w:val="28"/>
            </w:rPr>
            <w:t>六、有关建议</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_Toc12213 \h </w:instrText>
          </w:r>
          <w:r>
            <w:rPr>
              <w:rFonts w:hint="eastAsia" w:ascii="宋体" w:hAnsi="宋体" w:eastAsia="宋体" w:cs="宋体"/>
              <w:sz w:val="28"/>
              <w:szCs w:val="28"/>
            </w:rPr>
            <w:fldChar w:fldCharType="separate"/>
          </w:r>
          <w:r>
            <w:rPr>
              <w:rFonts w:hint="eastAsia" w:ascii="宋体" w:hAnsi="宋体" w:eastAsia="宋体" w:cs="宋体"/>
              <w:sz w:val="28"/>
              <w:szCs w:val="28"/>
            </w:rPr>
            <w:t>33</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keepNext w:val="0"/>
            <w:keepLines w:val="0"/>
            <w:pageBreakBefore w:val="0"/>
            <w:widowControl w:val="0"/>
            <w:tabs>
              <w:tab w:val="right" w:leader="dot" w:pos="8844"/>
            </w:tabs>
            <w:kinsoku/>
            <w:wordWrap/>
            <w:overflowPunct/>
            <w:topLinePunct w:val="0"/>
            <w:autoSpaceDE/>
            <w:autoSpaceDN/>
            <w:bidi w:val="0"/>
            <w:adjustRightInd/>
            <w:snapToGrid/>
            <w:spacing w:line="288" w:lineRule="auto"/>
            <w:ind w:left="0" w:leftChars="0" w:firstLine="0" w:firstLineChars="0"/>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_Toc13443 </w:instrText>
          </w:r>
          <w:r>
            <w:rPr>
              <w:rFonts w:hint="eastAsia" w:ascii="宋体" w:hAnsi="宋体" w:eastAsia="宋体" w:cs="宋体"/>
              <w:sz w:val="28"/>
              <w:szCs w:val="28"/>
            </w:rPr>
            <w:fldChar w:fldCharType="separate"/>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一</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提升指标设置能力</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_Toc13443 \h </w:instrText>
          </w:r>
          <w:r>
            <w:rPr>
              <w:rFonts w:hint="eastAsia" w:ascii="宋体" w:hAnsi="宋体" w:eastAsia="宋体" w:cs="宋体"/>
              <w:sz w:val="28"/>
              <w:szCs w:val="28"/>
            </w:rPr>
            <w:fldChar w:fldCharType="separate"/>
          </w:r>
          <w:r>
            <w:rPr>
              <w:rFonts w:hint="eastAsia" w:ascii="宋体" w:hAnsi="宋体" w:eastAsia="宋体" w:cs="宋体"/>
              <w:sz w:val="28"/>
              <w:szCs w:val="28"/>
            </w:rPr>
            <w:t>33</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keepNext w:val="0"/>
            <w:keepLines w:val="0"/>
            <w:pageBreakBefore w:val="0"/>
            <w:widowControl w:val="0"/>
            <w:tabs>
              <w:tab w:val="right" w:leader="dot" w:pos="8844"/>
            </w:tabs>
            <w:kinsoku/>
            <w:wordWrap/>
            <w:overflowPunct/>
            <w:topLinePunct w:val="0"/>
            <w:autoSpaceDE/>
            <w:autoSpaceDN/>
            <w:bidi w:val="0"/>
            <w:adjustRightInd/>
            <w:snapToGrid/>
            <w:spacing w:line="288" w:lineRule="auto"/>
            <w:ind w:left="0" w:leftChars="0" w:firstLine="0" w:firstLineChars="0"/>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_Toc15244 </w:instrText>
          </w:r>
          <w:r>
            <w:rPr>
              <w:rFonts w:hint="eastAsia" w:ascii="宋体" w:hAnsi="宋体" w:eastAsia="宋体" w:cs="宋体"/>
              <w:sz w:val="28"/>
              <w:szCs w:val="28"/>
            </w:rPr>
            <w:fldChar w:fldCharType="separate"/>
          </w:r>
          <w:r>
            <w:rPr>
              <w:rFonts w:hint="eastAsia" w:ascii="宋体" w:hAnsi="宋体" w:eastAsia="宋体" w:cs="宋体"/>
              <w:sz w:val="28"/>
              <w:szCs w:val="28"/>
              <w:lang w:val="en-US" w:eastAsia="zh-CN"/>
            </w:rPr>
            <w:t>（二）增强预算编制科学性</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_Toc15244 \h </w:instrText>
          </w:r>
          <w:r>
            <w:rPr>
              <w:rFonts w:hint="eastAsia" w:ascii="宋体" w:hAnsi="宋体" w:eastAsia="宋体" w:cs="宋体"/>
              <w:sz w:val="28"/>
              <w:szCs w:val="28"/>
            </w:rPr>
            <w:fldChar w:fldCharType="separate"/>
          </w:r>
          <w:r>
            <w:rPr>
              <w:rFonts w:hint="eastAsia" w:ascii="宋体" w:hAnsi="宋体" w:eastAsia="宋体" w:cs="宋体"/>
              <w:sz w:val="28"/>
              <w:szCs w:val="28"/>
            </w:rPr>
            <w:t>33</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keepNext w:val="0"/>
            <w:keepLines w:val="0"/>
            <w:pageBreakBefore w:val="0"/>
            <w:widowControl w:val="0"/>
            <w:tabs>
              <w:tab w:val="right" w:leader="dot" w:pos="8844"/>
            </w:tabs>
            <w:kinsoku/>
            <w:wordWrap/>
            <w:overflowPunct/>
            <w:topLinePunct w:val="0"/>
            <w:autoSpaceDE/>
            <w:autoSpaceDN/>
            <w:bidi w:val="0"/>
            <w:adjustRightInd/>
            <w:snapToGrid/>
            <w:spacing w:line="288" w:lineRule="auto"/>
            <w:ind w:left="0" w:leftChars="0" w:firstLine="0" w:firstLineChars="0"/>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_Toc31878 </w:instrText>
          </w:r>
          <w:r>
            <w:rPr>
              <w:rFonts w:hint="eastAsia" w:ascii="宋体" w:hAnsi="宋体" w:eastAsia="宋体" w:cs="宋体"/>
              <w:sz w:val="28"/>
              <w:szCs w:val="28"/>
            </w:rPr>
            <w:fldChar w:fldCharType="separate"/>
          </w:r>
          <w:r>
            <w:rPr>
              <w:rFonts w:hint="eastAsia" w:ascii="宋体" w:hAnsi="宋体" w:eastAsia="宋体" w:cs="宋体"/>
              <w:sz w:val="28"/>
              <w:szCs w:val="28"/>
              <w:lang w:val="en-US" w:eastAsia="zh-CN"/>
            </w:rPr>
            <w:t>（三）增强入账严谨性</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_Toc31878 \h </w:instrText>
          </w:r>
          <w:r>
            <w:rPr>
              <w:rFonts w:hint="eastAsia" w:ascii="宋体" w:hAnsi="宋体" w:eastAsia="宋体" w:cs="宋体"/>
              <w:sz w:val="28"/>
              <w:szCs w:val="28"/>
            </w:rPr>
            <w:fldChar w:fldCharType="separate"/>
          </w:r>
          <w:r>
            <w:rPr>
              <w:rFonts w:hint="eastAsia" w:ascii="宋体" w:hAnsi="宋体" w:eastAsia="宋体" w:cs="宋体"/>
              <w:sz w:val="28"/>
              <w:szCs w:val="28"/>
            </w:rPr>
            <w:t>34</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1"/>
            <w:keepNext w:val="0"/>
            <w:keepLines w:val="0"/>
            <w:pageBreakBefore w:val="0"/>
            <w:widowControl w:val="0"/>
            <w:tabs>
              <w:tab w:val="right" w:leader="dot" w:pos="8844"/>
            </w:tabs>
            <w:kinsoku/>
            <w:wordWrap/>
            <w:overflowPunct/>
            <w:topLinePunct w:val="0"/>
            <w:autoSpaceDE/>
            <w:autoSpaceDN/>
            <w:bidi w:val="0"/>
            <w:adjustRightInd/>
            <w:snapToGrid/>
            <w:spacing w:line="288" w:lineRule="auto"/>
            <w:ind w:left="0" w:leftChars="0" w:firstLine="0" w:firstLineChars="0"/>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_Toc13315 </w:instrText>
          </w:r>
          <w:r>
            <w:rPr>
              <w:rFonts w:hint="eastAsia" w:ascii="宋体" w:hAnsi="宋体" w:eastAsia="宋体" w:cs="宋体"/>
              <w:sz w:val="28"/>
              <w:szCs w:val="28"/>
            </w:rPr>
            <w:fldChar w:fldCharType="separate"/>
          </w:r>
          <w:r>
            <w:rPr>
              <w:rFonts w:hint="eastAsia" w:ascii="宋体" w:hAnsi="宋体" w:eastAsia="宋体" w:cs="宋体"/>
              <w:sz w:val="28"/>
              <w:szCs w:val="28"/>
              <w:lang w:val="en-US" w:eastAsia="zh-CN"/>
            </w:rPr>
            <w:t>（四）完善管理制度并加强执行</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_Toc13315 \h </w:instrText>
          </w:r>
          <w:r>
            <w:rPr>
              <w:rFonts w:hint="eastAsia" w:ascii="宋体" w:hAnsi="宋体" w:eastAsia="宋体" w:cs="宋体"/>
              <w:sz w:val="28"/>
              <w:szCs w:val="28"/>
            </w:rPr>
            <w:fldChar w:fldCharType="separate"/>
          </w:r>
          <w:r>
            <w:rPr>
              <w:rFonts w:hint="eastAsia" w:ascii="宋体" w:hAnsi="宋体" w:eastAsia="宋体" w:cs="宋体"/>
              <w:sz w:val="28"/>
              <w:szCs w:val="28"/>
            </w:rPr>
            <w:t>34</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10"/>
            <w:keepNext w:val="0"/>
            <w:keepLines w:val="0"/>
            <w:pageBreakBefore w:val="0"/>
            <w:widowControl w:val="0"/>
            <w:tabs>
              <w:tab w:val="right" w:leader="dot" w:pos="8844"/>
            </w:tabs>
            <w:kinsoku/>
            <w:wordWrap/>
            <w:overflowPunct/>
            <w:topLinePunct w:val="0"/>
            <w:autoSpaceDE/>
            <w:autoSpaceDN/>
            <w:bidi w:val="0"/>
            <w:adjustRightInd/>
            <w:snapToGrid/>
            <w:spacing w:line="288" w:lineRule="auto"/>
            <w:ind w:firstLine="0" w:firstLineChars="0"/>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_Toc26688 </w:instrText>
          </w:r>
          <w:r>
            <w:rPr>
              <w:rFonts w:hint="eastAsia" w:ascii="宋体" w:hAnsi="宋体" w:eastAsia="宋体" w:cs="宋体"/>
              <w:sz w:val="28"/>
              <w:szCs w:val="28"/>
            </w:rPr>
            <w:fldChar w:fldCharType="separate"/>
          </w:r>
          <w:r>
            <w:rPr>
              <w:rFonts w:hint="eastAsia" w:ascii="宋体" w:hAnsi="宋体" w:eastAsia="宋体" w:cs="宋体"/>
              <w:sz w:val="28"/>
              <w:szCs w:val="28"/>
            </w:rPr>
            <w:t>七、其他需要说明的问题</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_Toc26688 \h </w:instrText>
          </w:r>
          <w:r>
            <w:rPr>
              <w:rFonts w:hint="eastAsia" w:ascii="宋体" w:hAnsi="宋体" w:eastAsia="宋体" w:cs="宋体"/>
              <w:sz w:val="28"/>
              <w:szCs w:val="28"/>
            </w:rPr>
            <w:fldChar w:fldCharType="separate"/>
          </w:r>
          <w:r>
            <w:rPr>
              <w:rFonts w:hint="eastAsia" w:ascii="宋体" w:hAnsi="宋体" w:eastAsia="宋体" w:cs="宋体"/>
              <w:sz w:val="28"/>
              <w:szCs w:val="28"/>
            </w:rPr>
            <w:t>34</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keepNext w:val="0"/>
            <w:keepLines w:val="0"/>
            <w:pageBreakBefore w:val="0"/>
            <w:widowControl w:val="0"/>
            <w:kinsoku/>
            <w:wordWrap/>
            <w:overflowPunct/>
            <w:topLinePunct w:val="0"/>
            <w:autoSpaceDE/>
            <w:autoSpaceDN/>
            <w:bidi w:val="0"/>
            <w:adjustRightInd/>
            <w:snapToGrid/>
            <w:spacing w:line="288" w:lineRule="auto"/>
            <w:ind w:firstLine="0" w:firstLineChars="0"/>
            <w:textAlignment w:val="auto"/>
          </w:pPr>
          <w:r>
            <w:rPr>
              <w:rFonts w:hint="eastAsia" w:ascii="宋体" w:hAnsi="宋体" w:eastAsia="宋体" w:cs="宋体"/>
              <w:sz w:val="28"/>
              <w:szCs w:val="28"/>
            </w:rPr>
            <w:fldChar w:fldCharType="end"/>
          </w:r>
        </w:p>
      </w:sdtContent>
    </w:sdt>
    <w:p>
      <w:pPr>
        <w:ind w:firstLine="643"/>
        <w:jc w:val="center"/>
        <w:outlineLvl w:val="0"/>
        <w:rPr>
          <w:rFonts w:hint="eastAsia" w:ascii="黑体" w:hAnsi="黑体" w:eastAsia="黑体" w:cs="黑体"/>
          <w:b/>
          <w:bCs/>
          <w:sz w:val="32"/>
          <w:szCs w:val="32"/>
        </w:rPr>
        <w:sectPr>
          <w:headerReference r:id="rId8" w:type="default"/>
          <w:footerReference r:id="rId9" w:type="default"/>
          <w:pgSz w:w="11906" w:h="16838"/>
          <w:pgMar w:top="1928" w:right="1531" w:bottom="1701" w:left="1531" w:header="850" w:footer="992" w:gutter="0"/>
          <w:pgNumType w:start="1"/>
          <w:cols w:space="720" w:num="1"/>
          <w:docGrid w:type="lines" w:linePitch="408" w:charSpace="0"/>
        </w:sect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0"/>
        <w:rPr>
          <w:rFonts w:ascii="黑体" w:hAnsi="黑体" w:eastAsia="黑体" w:cs="黑体"/>
          <w:b/>
          <w:bCs/>
          <w:sz w:val="32"/>
          <w:szCs w:val="32"/>
        </w:rPr>
      </w:pPr>
      <w:bookmarkStart w:id="0" w:name="_Toc19310"/>
      <w:r>
        <w:rPr>
          <w:rFonts w:hint="eastAsia" w:ascii="黑体" w:hAnsi="黑体" w:eastAsia="黑体" w:cs="黑体"/>
          <w:b/>
          <w:bCs/>
          <w:sz w:val="32"/>
          <w:szCs w:val="32"/>
        </w:rPr>
        <w:t>前  言</w:t>
      </w:r>
      <w:bookmarkEnd w:id="0"/>
    </w:p>
    <w:p>
      <w:pPr>
        <w:ind w:firstLine="560"/>
        <w:rPr>
          <w:rFonts w:hint="eastAsia" w:ascii="宋体" w:hAnsi="宋体" w:cs="宋体"/>
        </w:rPr>
      </w:pPr>
      <w:r>
        <w:rPr>
          <w:rFonts w:hint="eastAsia" w:ascii="宋体" w:hAnsi="宋体" w:cs="宋体"/>
        </w:rPr>
        <w:t>财政支出绩效评价是财政管理体制改革的重大课题，也是建设廉洁高效政府的关键措施。通过绩效评价，可以强化支出责任，优化资源配置，提高财政资金的使用效益。预算绩效管理是一种以支出结果为导向的预算管理模式，是政府绩效管理的重要组成部分，是预算绩效管理的重要手段；结合社会经济发展需要和相关标准，运用合理的绩效评价目标，对财政资金的经济性、效率性和效益性做出客观公正的评判。</w:t>
      </w:r>
    </w:p>
    <w:p>
      <w:pPr>
        <w:ind w:firstLine="560"/>
        <w:rPr>
          <w:rFonts w:hint="default" w:ascii="宋体" w:hAnsi="宋体" w:eastAsia="宋体" w:cs="宋体"/>
          <w:lang w:val="en-US" w:eastAsia="zh-CN"/>
        </w:rPr>
      </w:pPr>
      <w:r>
        <w:rPr>
          <w:rFonts w:hint="eastAsia" w:ascii="宋体" w:hAnsi="宋体" w:cs="宋体"/>
          <w:lang w:val="en-US" w:eastAsia="zh-CN"/>
        </w:rPr>
        <w:t>为切实提升东湖区食品安全保障水平，全面推进国家食品安全示范城市创建工作，建立覆盖区城市社区和农村的基层食品安全协管员队伍，确保全区食品安全状况总体平稳，食品安全群众满意度不断提升，根据《江西省人民政府关于进一步加强食品安全工作的若干意见》（赣府发[2016]33号）文件精神，东湖区市场监督管理局申报设立了食安城建设项目，用以开展创建国家食品安全示范城市宣传工作、食品安全协管员信息员培训工作和支付食品安全协管员、信息员工作经费等。</w:t>
      </w:r>
    </w:p>
    <w:p>
      <w:pPr>
        <w:ind w:firstLine="560"/>
        <w:rPr>
          <w:rFonts w:ascii="宋体" w:hAnsi="宋体" w:cs="宋体"/>
        </w:rPr>
      </w:pPr>
      <w:r>
        <w:rPr>
          <w:rFonts w:hint="eastAsia" w:ascii="宋体" w:hAnsi="宋体" w:cs="宋体"/>
        </w:rPr>
        <w:t>为深入贯彻落实《预算法》文件精神，认真履行全面实施绩效管理的“十九大”精神，强化预算支出责任，提高财政资金使用效益，根据</w:t>
      </w:r>
      <w:r>
        <w:rPr>
          <w:rFonts w:hint="eastAsia" w:ascii="宋体" w:hAnsi="宋体" w:cs="宋体"/>
          <w:szCs w:val="28"/>
        </w:rPr>
        <w:t>《中共中央 国务院关于全面实施预算绩效管理的意见》、《项目支出绩效管理评价办法》、</w:t>
      </w:r>
      <w:r>
        <w:rPr>
          <w:rFonts w:hint="eastAsia" w:ascii="宋体" w:hAnsi="宋体" w:cs="宋体"/>
        </w:rPr>
        <w:t>《中共江西省委 江西省人民政府关于全面实施预算绩效管理的实施意见》、</w:t>
      </w:r>
      <w:r>
        <w:rPr>
          <w:rFonts w:hint="eastAsia" w:ascii="宋体" w:hAnsi="宋体" w:cs="宋体"/>
          <w:szCs w:val="28"/>
        </w:rPr>
        <w:t>《江西省财政厅关于贯彻落实〈中共江西省委 江西省人民政府关于全面实施预算绩效管理的实施意见〉若干措施的通知》</w:t>
      </w:r>
      <w:r>
        <w:rPr>
          <w:rFonts w:hint="eastAsia" w:ascii="宋体" w:hAnsi="宋体" w:cs="宋体"/>
        </w:rPr>
        <w:t>、《南昌市委 南昌市人民政府关于全面实施预算绩效管理的实施意见》、</w:t>
      </w:r>
      <w:r>
        <w:rPr>
          <w:rFonts w:hint="eastAsia" w:ascii="宋体" w:hAnsi="宋体" w:cs="宋体"/>
          <w:lang w:val="en-US" w:eastAsia="zh-CN"/>
        </w:rPr>
        <w:t>《南昌市财政局关于开展2021年度预算绩效管理有关工作的通知》（洪财办[2021]7号）和《东湖区财政局关于开展2021年度预算绩效管理有关工作的通知》（东财字[2021]14号）</w:t>
      </w:r>
      <w:r>
        <w:rPr>
          <w:rFonts w:hint="eastAsia" w:ascii="宋体" w:hAnsi="宋体" w:cs="宋体"/>
        </w:rPr>
        <w:t>等文件的要求，开展本次绩效评价工作。</w:t>
      </w:r>
    </w:p>
    <w:p>
      <w:pPr>
        <w:ind w:firstLine="560"/>
        <w:rPr>
          <w:rFonts w:ascii="宋体" w:hAnsi="宋体" w:cs="宋体"/>
        </w:rPr>
      </w:pPr>
      <w:r>
        <w:rPr>
          <w:rFonts w:hint="eastAsia" w:ascii="宋体" w:hAnsi="宋体" w:cs="宋体"/>
        </w:rPr>
        <w:t>为了解</w:t>
      </w:r>
      <w:r>
        <w:rPr>
          <w:rFonts w:hint="eastAsia" w:ascii="宋体" w:hAnsi="宋体" w:cs="宋体"/>
          <w:lang w:val="en-US" w:eastAsia="zh-CN"/>
        </w:rPr>
        <w:t>东湖区市场监督管理局食安城建设项目</w:t>
      </w:r>
      <w:r>
        <w:rPr>
          <w:rFonts w:hint="eastAsia" w:ascii="宋体" w:hAnsi="宋体" w:cs="宋体"/>
        </w:rPr>
        <w:t>的产出和效益，以及资金使用的合理性和规范性，根据绩效评价有关文件及相关规定，按照绩效评价工作的一般准则，采用因素分析法、数据对比法等评价方法，同时辅以问卷调查、深度访谈、财务核查等证据收集方法，对“</w:t>
      </w:r>
      <w:r>
        <w:rPr>
          <w:rFonts w:hint="eastAsia" w:ascii="宋体" w:hAnsi="宋体" w:cs="宋体"/>
          <w:lang w:eastAsia="zh-CN"/>
        </w:rPr>
        <w:t>食安城建设项目</w:t>
      </w:r>
      <w:r>
        <w:rPr>
          <w:rFonts w:hint="eastAsia" w:ascii="宋体" w:hAnsi="宋体" w:cs="宋体"/>
        </w:rPr>
        <w:t>”的使用及其效果实施绩效评价并形成绩效评价报告。现将评价情况报告如下：</w:t>
      </w:r>
    </w:p>
    <w:p>
      <w:pPr>
        <w:pStyle w:val="6"/>
        <w:ind w:firstLine="560"/>
        <w:rPr>
          <w:rFonts w:ascii="宋体" w:hAnsi="宋体" w:cs="宋体"/>
        </w:rPr>
      </w:pPr>
    </w:p>
    <w:p>
      <w:pPr>
        <w:pStyle w:val="6"/>
        <w:ind w:firstLine="560"/>
        <w:rPr>
          <w:rFonts w:ascii="宋体" w:hAnsi="宋体" w:cs="宋体"/>
        </w:rPr>
      </w:pPr>
    </w:p>
    <w:p>
      <w:pPr>
        <w:pStyle w:val="2"/>
        <w:spacing w:before="0"/>
        <w:outlineLvl w:val="9"/>
        <w:rPr>
          <w:rFonts w:hint="eastAsia"/>
          <w:szCs w:val="36"/>
        </w:rPr>
        <w:sectPr>
          <w:pgSz w:w="11906" w:h="16838"/>
          <w:pgMar w:top="1928" w:right="1531" w:bottom="1701" w:left="1531" w:header="850" w:footer="992" w:gutter="0"/>
          <w:pgNumType w:start="1"/>
          <w:cols w:space="720" w:num="1"/>
          <w:docGrid w:type="lines" w:linePitch="408" w:charSpace="0"/>
        </w:sectPr>
      </w:pPr>
      <w:bookmarkStart w:id="1" w:name="_Toc11605"/>
    </w:p>
    <w:p>
      <w:pPr>
        <w:pStyle w:val="2"/>
        <w:spacing w:before="0"/>
        <w:rPr>
          <w:szCs w:val="36"/>
        </w:rPr>
      </w:pPr>
      <w:bookmarkStart w:id="2" w:name="_Toc21075"/>
      <w:r>
        <w:rPr>
          <w:rFonts w:hint="eastAsia"/>
          <w:szCs w:val="36"/>
        </w:rPr>
        <w:t>一、基本情况</w:t>
      </w:r>
      <w:bookmarkEnd w:id="1"/>
      <w:bookmarkEnd w:id="2"/>
    </w:p>
    <w:p>
      <w:pPr>
        <w:pStyle w:val="3"/>
        <w:spacing w:before="204" w:after="204"/>
      </w:pPr>
      <w:bookmarkStart w:id="3" w:name="_Toc9814"/>
      <w:bookmarkStart w:id="4" w:name="_Toc21924"/>
      <w:r>
        <w:rPr>
          <w:rFonts w:hint="eastAsia"/>
        </w:rPr>
        <w:t>（一）项目概况</w:t>
      </w:r>
      <w:bookmarkEnd w:id="3"/>
      <w:bookmarkEnd w:id="4"/>
    </w:p>
    <w:p>
      <w:pPr>
        <w:pStyle w:val="4"/>
        <w:rPr>
          <w:rFonts w:hint="eastAsia"/>
        </w:rPr>
      </w:pPr>
      <w:bookmarkStart w:id="5" w:name="_Toc14003"/>
      <w:r>
        <w:rPr>
          <w:rFonts w:hint="eastAsia"/>
        </w:rPr>
        <w:t>1、项目背景</w:t>
      </w:r>
      <w:bookmarkEnd w:id="5"/>
    </w:p>
    <w:p>
      <w:pPr>
        <w:rPr>
          <w:rFonts w:hint="default" w:eastAsia="宋体"/>
          <w:lang w:val="en-US" w:eastAsia="zh-CN"/>
        </w:rPr>
      </w:pPr>
      <w:r>
        <w:rPr>
          <w:rFonts w:hint="eastAsia"/>
          <w:lang w:val="en-US" w:eastAsia="zh-CN"/>
        </w:rPr>
        <w:t>食品安全一直是重大民生问题，《国务院关于加强食品安全工作的决定》（国发[2012]20号）文件提出了“坚持统一协调与分工负责相结合，严格落实监管责任，强化协作配合，形成全程监管合力。坚持集中治理整顿与严格日常监管相结合，严厉惩处食品安全违法犯罪行为，规范食品生产经营秩序，强化执法力量和技术支撑，切实提高食品安全监管水平。坚持加强政府监管与落实企业主体责任相结合，强化激励约束，治理道德失范，培育诚信守法环境，提升企业管理水平，夯实食品安全基础。坚持执法监督与社会监督相结合，加强宣传教育培训，积极引导社会力量参与，充分发挥群众监督与舆论监督的作用，营造良好社会氛围”的总体要求，同时要求地方各级政府要把食品安全工作摆上重要议事日程，主要负责同志亲自抓，切实加强统一领导和组织协调。</w:t>
      </w:r>
    </w:p>
    <w:p>
      <w:pPr>
        <w:rPr>
          <w:rFonts w:hint="eastAsia"/>
          <w:lang w:val="en-US" w:eastAsia="zh-CN"/>
        </w:rPr>
      </w:pPr>
      <w:r>
        <w:rPr>
          <w:rFonts w:hint="eastAsia"/>
          <w:lang w:val="en-US" w:eastAsia="zh-CN"/>
        </w:rPr>
        <w:t>2019年5月</w:t>
      </w:r>
      <w:r>
        <w:rPr>
          <w:rFonts w:hint="eastAsia"/>
        </w:rPr>
        <w:t>《中共中央、国务院关于深化改革加强食品安全工作的意见》</w:t>
      </w:r>
      <w:r>
        <w:rPr>
          <w:rFonts w:hint="eastAsia"/>
          <w:lang w:val="en-US" w:eastAsia="zh-CN"/>
        </w:rPr>
        <w:t>提出了“到2020年，基于风险分析和供应链管理的食品安全监管体系初步建立。农产品和食品抽检量达到4批次/千人，主要农产品质量安全监测总体合格率稳定在97%以上，食品抽检合格率稳定在98%以上，区域性、系统性重大食品安全风险基本得到控制，公众对食品安全的安全感、满意度进一步提高，食品安全整体水平与全面建成小康社会目标基本相适应。到2035年，基本实现食品安全领域国家治理体系和治理能力现代化。食品安全标准水平进入世界前列，产地环境污染得到有效治理，生产经营者责任意识、诚信意识和食品质量安全管理水平明显提高，经济利益驱动型食品安全违法犯罪明显减少。食品安全风险管控能力达到国际先进水平，从农田到餐桌全过程监管体系运行有效，食品安全状况实现根本好转，人民群众吃得健康、吃得放心”的总体目标。</w:t>
      </w:r>
    </w:p>
    <w:p>
      <w:pPr>
        <w:rPr>
          <w:rFonts w:hint="eastAsia"/>
        </w:rPr>
      </w:pPr>
      <w:r>
        <w:rPr>
          <w:rFonts w:hint="eastAsia"/>
        </w:rPr>
        <w:t>《中共江西省委、省人民政府关于深化全省食品安全改革发展推进食品安全治理体系和治理能力现代化的实施意见》明确了江西省食品安全工作目标：到2020年，基于风险分析和供应链管理的食品安全监管体系初步建立，食品安全整体水平与全面建成小康社会目标相适应，全省主要食用农产品监测抽检合格率稳定在97%以上，食品评价抽检合格率稳定在98%以上。到2025年，基本实现全省食品安全治理制度化、科学化、规范化、程序化，体制更加健全，机制更加完善，治理更加科学，群众更加满意</w:t>
      </w:r>
      <w:r>
        <w:rPr>
          <w:rFonts w:hint="eastAsia"/>
          <w:lang w:eastAsia="zh-CN"/>
        </w:rPr>
        <w:t>。</w:t>
      </w:r>
      <w:r>
        <w:rPr>
          <w:rFonts w:hint="eastAsia"/>
        </w:rPr>
        <w:t>到2035年，全省基本实现食品安全治理体系和治理能力现代化，食品安全标准水平、风险管控能力进入全国先进行列。</w:t>
      </w:r>
    </w:p>
    <w:p>
      <w:pPr>
        <w:rPr>
          <w:rFonts w:hint="default" w:eastAsia="宋体"/>
          <w:lang w:val="en-US" w:eastAsia="zh-CN"/>
        </w:rPr>
      </w:pPr>
      <w:r>
        <w:rPr>
          <w:rFonts w:hint="eastAsia"/>
        </w:rPr>
        <w:t>根据《江西省食品安全委员会办公室关于开展食品安全城市创建试点工作的通知》（赣食安办字〔2016〕2号），南昌市列为第三批国家食品安全示范创建试点城市。市委、市政府相继出台《南昌市关于落实食品安全党政同责的实施意见》《南昌市强化县区政府食品安全监管属地责任管理办法》《南昌市食品安全工作评议考核管理办法》等政策文件，健全一岗双责、考核评价、督查督导和责任追究机制；将食品安全工作在全市高质量发展目标考核体系中的权重比提高至3％以上，并将食品安全工作纳入社会综合治理考核，与廉政建设、社会稳定、安全生产等一起作为“一票否决”事项。</w:t>
      </w:r>
      <w:r>
        <w:rPr>
          <w:rFonts w:hint="eastAsia"/>
          <w:lang w:val="en-US" w:eastAsia="zh-CN"/>
        </w:rPr>
        <w:t>东湖区作为南昌市中心城区，大力配合开展食品安全城市创建工作，为积极完成市创建国家食品安全示范城市工作领导小组统一部署的各项食品安全工作，区市场监督管理局申报设立了食安城建设项目，用以开展各项食品安全监督检查和宣传工作。</w:t>
      </w:r>
    </w:p>
    <w:p>
      <w:pPr>
        <w:pStyle w:val="4"/>
        <w:rPr>
          <w:rFonts w:hint="eastAsia"/>
        </w:rPr>
      </w:pPr>
      <w:bookmarkStart w:id="6" w:name="_Toc10692"/>
      <w:r>
        <w:rPr>
          <w:rFonts w:hint="eastAsia"/>
        </w:rPr>
        <w:t>2、主要内容及实施情况</w:t>
      </w:r>
      <w:bookmarkEnd w:id="6"/>
    </w:p>
    <w:p>
      <w:pPr>
        <w:rPr>
          <w:rFonts w:hint="eastAsia"/>
          <w:lang w:val="en-US" w:eastAsia="zh-CN"/>
        </w:rPr>
      </w:pPr>
      <w:r>
        <w:rPr>
          <w:rFonts w:hint="eastAsia"/>
        </w:rPr>
        <w:t>食品安全示范城市创建</w:t>
      </w:r>
      <w:r>
        <w:rPr>
          <w:rFonts w:hint="eastAsia"/>
          <w:lang w:val="en-US" w:eastAsia="zh-CN"/>
        </w:rPr>
        <w:t>工作主要以市为单位整体开展创建工作，故东湖区市场监督管理局未制定年度工作计划，主要根据市市场监督管理局的通知开展相关工作，2020年受疫情影响，市级工作布置较少，主要工作通过区政府召开创建国家食品安全示范城市调度会推动，主要为开展宣传和督查工作。</w:t>
      </w:r>
    </w:p>
    <w:p>
      <w:pPr>
        <w:rPr>
          <w:rFonts w:hint="eastAsia"/>
          <w:lang w:val="en-US" w:eastAsia="zh-CN"/>
        </w:rPr>
      </w:pPr>
      <w:r>
        <w:rPr>
          <w:rFonts w:hint="eastAsia"/>
          <w:lang w:val="en-US" w:eastAsia="zh-CN"/>
        </w:rPr>
        <w:t>2020年东湖区市场监督管理局整合人力物力财力，以小餐饮、小食杂、小作坊等为重点，开展创食安城和文明城宣传，印制“文明餐桌”牌30000份、食品安全管理制度4000份、消毒记录卡6000份、“文明健康、有你有我”公益广告宣传画4000份、“公勺公筷”宣传牌30000份。同时与宣传部积极沟通，领取“文明健康、有你有我”公益广告宣传画8000份，迅速组织分局开展宣传工作，张贴文明餐桌提示13668份、食品安全制度3506份，公勺公筷宣传牌18797份，“公勺公筷”“光盘行动”宣传画7636份。</w:t>
      </w:r>
    </w:p>
    <w:p>
      <w:pPr>
        <w:rPr>
          <w:rFonts w:hint="default"/>
          <w:lang w:val="en-US" w:eastAsia="zh-CN"/>
        </w:rPr>
      </w:pPr>
      <w:r>
        <w:rPr>
          <w:rFonts w:hint="default"/>
          <w:lang w:val="en-US" w:eastAsia="zh-CN"/>
        </w:rPr>
        <w:t>下发《关于做好野生毒蘑菇中毒防控工作的通知》，组织食安委各成员单位及各镇、街办、管理处在辖区内开展野生毒蘑菇中毒防控工作。印制毒蘑菇中毒防控宣传贴画1000份，“珍爱生命 拒食野生毒蘑菇”一封信10000张，发动全区150名食品安全信息员在各村（社区）发放关于预防野生蘑菇中毒致市民的一封信，提高居民的防范意识，特别是扬子洲镇和扬农管理处，做到入户宣传率100%，共发放宣传单800余份，在各主要路段悬挂宣传横幅15条，张贴宣传画册1百余张。</w:t>
      </w:r>
    </w:p>
    <w:p>
      <w:pPr>
        <w:rPr>
          <w:rFonts w:hint="default"/>
          <w:lang w:val="en-US" w:eastAsia="zh-CN"/>
        </w:rPr>
      </w:pPr>
      <w:r>
        <w:rPr>
          <w:rFonts w:hint="default"/>
          <w:lang w:val="en-US" w:eastAsia="zh-CN"/>
        </w:rPr>
        <w:t>印制有创建食品安全示范城市标语的购物袋、纸抽等宣传物品2万余份， 致居民一封信30000份，通过各镇（街办、管理处）开展入户宣传，提高广大居民对食品安全创建工作的知晓率。</w:t>
      </w:r>
    </w:p>
    <w:p>
      <w:pPr>
        <w:rPr>
          <w:rFonts w:hint="eastAsia"/>
        </w:rPr>
      </w:pPr>
      <w:r>
        <w:rPr>
          <w:rFonts w:hint="eastAsia"/>
        </w:rPr>
        <w:t>根据江西省市场监督管理局发布的《2018-2020年江西省食品安全治理示范城市（示范县）名单公示》，东湖区入选拟命名为“2018-2020年江西省食品安全治理示范县”的县（市、区）（截至评价日，名单尚在公示期间，公示时间为2021年7月14日至2021年7月28日）。</w:t>
      </w:r>
    </w:p>
    <w:p>
      <w:pPr>
        <w:pStyle w:val="4"/>
        <w:rPr>
          <w:rFonts w:hint="eastAsia"/>
        </w:rPr>
      </w:pPr>
      <w:bookmarkStart w:id="7" w:name="_Toc24901"/>
      <w:r>
        <w:rPr>
          <w:rFonts w:hint="eastAsia"/>
        </w:rPr>
        <w:t>3、资金投入和使用情况</w:t>
      </w:r>
      <w:bookmarkEnd w:id="7"/>
    </w:p>
    <w:p>
      <w:pPr>
        <w:rPr>
          <w:rFonts w:hint="eastAsia"/>
          <w:lang w:val="en-US" w:eastAsia="zh-CN"/>
        </w:rPr>
      </w:pPr>
      <w:r>
        <w:rPr>
          <w:rFonts w:hint="eastAsia"/>
          <w:lang w:val="en-US" w:eastAsia="zh-CN"/>
        </w:rPr>
        <w:t>食安城建设项目共计投入100万元，资金主要用于支付各街办食品安全信息员劳务费、宣传印刷费、各分局加班工作餐费和水电费等。由于区市场监督管理局未针对食安城建设项目制定专项资金使用管理办法，故部分资金难以界定是否可从该项目列支，资金具体使用情况如下表所示：</w:t>
      </w:r>
    </w:p>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楷体" w:hAnsi="楷体" w:eastAsia="楷体" w:cs="楷体"/>
          <w:b w:val="0"/>
          <w:bCs w:val="0"/>
          <w:sz w:val="24"/>
          <w:szCs w:val="22"/>
          <w:highlight w:val="none"/>
          <w:vertAlign w:val="baseline"/>
          <w:lang w:val="en-US" w:eastAsia="zh-CN"/>
        </w:rPr>
      </w:pPr>
      <w:r>
        <w:rPr>
          <w:rFonts w:hint="eastAsia" w:ascii="楷体" w:hAnsi="楷体" w:eastAsia="楷体" w:cs="楷体"/>
          <w:b w:val="0"/>
          <w:bCs w:val="0"/>
          <w:sz w:val="24"/>
          <w:szCs w:val="22"/>
          <w:highlight w:val="none"/>
          <w:vertAlign w:val="baseline"/>
          <w:lang w:val="en-US" w:eastAsia="zh-CN"/>
        </w:rPr>
        <w:t>表1 食安城建设项目资金使用情况表</w:t>
      </w:r>
    </w:p>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right"/>
        <w:textAlignment w:val="auto"/>
        <w:rPr>
          <w:rFonts w:hint="default" w:ascii="楷体" w:hAnsi="楷体" w:eastAsia="楷体" w:cs="楷体"/>
          <w:b w:val="0"/>
          <w:bCs w:val="0"/>
          <w:sz w:val="24"/>
          <w:szCs w:val="22"/>
          <w:highlight w:val="none"/>
          <w:vertAlign w:val="baseline"/>
          <w:lang w:val="en-US" w:eastAsia="zh-CN"/>
        </w:rPr>
      </w:pPr>
      <w:r>
        <w:rPr>
          <w:rFonts w:hint="eastAsia" w:ascii="楷体" w:hAnsi="楷体" w:eastAsia="楷体" w:cs="楷体"/>
          <w:b w:val="0"/>
          <w:bCs w:val="0"/>
          <w:sz w:val="24"/>
          <w:szCs w:val="22"/>
          <w:highlight w:val="none"/>
          <w:vertAlign w:val="baseline"/>
          <w:lang w:val="en-US" w:eastAsia="zh-CN"/>
        </w:rPr>
        <w:t>单位：元</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0"/>
        <w:gridCol w:w="4420"/>
        <w:gridCol w:w="3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r>
              <w:rPr>
                <w:rFonts w:hint="eastAsia" w:ascii="楷体" w:hAnsi="楷体" w:eastAsia="楷体" w:cs="楷体"/>
                <w:b w:val="0"/>
                <w:bCs w:val="0"/>
                <w:sz w:val="24"/>
                <w:szCs w:val="22"/>
                <w:highlight w:val="none"/>
                <w:vertAlign w:val="baseline"/>
                <w:lang w:val="en-US" w:eastAsia="zh-CN"/>
              </w:rPr>
              <w:t>序号</w:t>
            </w:r>
          </w:p>
        </w:tc>
        <w:tc>
          <w:tcPr>
            <w:tcW w:w="4420" w:type="dxa"/>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r>
              <w:rPr>
                <w:rFonts w:hint="eastAsia" w:ascii="楷体" w:hAnsi="楷体" w:eastAsia="楷体" w:cs="楷体"/>
                <w:b w:val="0"/>
                <w:bCs w:val="0"/>
                <w:sz w:val="24"/>
                <w:szCs w:val="22"/>
                <w:highlight w:val="none"/>
                <w:vertAlign w:val="baseline"/>
                <w:lang w:val="en-US" w:eastAsia="zh-CN"/>
              </w:rPr>
              <w:t>资金用途</w:t>
            </w:r>
          </w:p>
        </w:tc>
        <w:tc>
          <w:tcPr>
            <w:tcW w:w="3020" w:type="dxa"/>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r>
              <w:rPr>
                <w:rFonts w:hint="eastAsia" w:ascii="楷体" w:hAnsi="楷体" w:eastAsia="楷体" w:cs="楷体"/>
                <w:b w:val="0"/>
                <w:bCs w:val="0"/>
                <w:sz w:val="24"/>
                <w:szCs w:val="22"/>
                <w:highlight w:val="none"/>
                <w:vertAlign w:val="baseline"/>
                <w:lang w:val="en-US" w:eastAsia="zh-CN"/>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r>
              <w:rPr>
                <w:rFonts w:hint="eastAsia" w:ascii="楷体" w:hAnsi="楷体" w:eastAsia="楷体" w:cs="楷体"/>
                <w:b w:val="0"/>
                <w:bCs w:val="0"/>
                <w:sz w:val="24"/>
                <w:szCs w:val="22"/>
                <w:highlight w:val="none"/>
                <w:vertAlign w:val="baseline"/>
                <w:lang w:val="en-US" w:eastAsia="zh-CN"/>
              </w:rPr>
              <w:t>1</w:t>
            </w:r>
          </w:p>
        </w:tc>
        <w:tc>
          <w:tcPr>
            <w:tcW w:w="4420" w:type="dxa"/>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r>
              <w:rPr>
                <w:rFonts w:hint="eastAsia" w:ascii="楷体" w:hAnsi="楷体" w:eastAsia="楷体" w:cs="楷体"/>
                <w:b w:val="0"/>
                <w:bCs w:val="0"/>
                <w:sz w:val="24"/>
                <w:szCs w:val="22"/>
                <w:highlight w:val="none"/>
                <w:vertAlign w:val="baseline"/>
                <w:lang w:val="en-US" w:eastAsia="zh-CN"/>
              </w:rPr>
              <w:t>伙食补助费</w:t>
            </w:r>
          </w:p>
        </w:tc>
        <w:tc>
          <w:tcPr>
            <w:tcW w:w="3020" w:type="dxa"/>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r>
              <w:rPr>
                <w:rFonts w:hint="eastAsia" w:ascii="楷体" w:hAnsi="楷体" w:eastAsia="楷体" w:cs="楷体"/>
                <w:b w:val="0"/>
                <w:bCs w:val="0"/>
                <w:sz w:val="24"/>
                <w:szCs w:val="22"/>
                <w:highlight w:val="none"/>
                <w:vertAlign w:val="baseline"/>
                <w:lang w:val="en-US" w:eastAsia="zh-CN"/>
              </w:rPr>
              <w:t>148399.75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r>
              <w:rPr>
                <w:rFonts w:hint="eastAsia" w:ascii="楷体" w:hAnsi="楷体" w:eastAsia="楷体" w:cs="楷体"/>
                <w:b w:val="0"/>
                <w:bCs w:val="0"/>
                <w:sz w:val="24"/>
                <w:szCs w:val="22"/>
                <w:highlight w:val="none"/>
                <w:vertAlign w:val="baseline"/>
                <w:lang w:val="en-US" w:eastAsia="zh-CN"/>
              </w:rPr>
              <w:t>2</w:t>
            </w:r>
          </w:p>
        </w:tc>
        <w:tc>
          <w:tcPr>
            <w:tcW w:w="4420" w:type="dxa"/>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r>
              <w:rPr>
                <w:rFonts w:hint="eastAsia" w:ascii="楷体" w:hAnsi="楷体" w:eastAsia="楷体" w:cs="楷体"/>
                <w:b w:val="0"/>
                <w:bCs w:val="0"/>
                <w:sz w:val="24"/>
                <w:szCs w:val="22"/>
                <w:highlight w:val="none"/>
                <w:vertAlign w:val="baseline"/>
                <w:lang w:val="en-US" w:eastAsia="zh-CN"/>
              </w:rPr>
              <w:t>办公费</w:t>
            </w:r>
          </w:p>
        </w:tc>
        <w:tc>
          <w:tcPr>
            <w:tcW w:w="3020" w:type="dxa"/>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r>
              <w:rPr>
                <w:rFonts w:hint="eastAsia" w:ascii="楷体" w:hAnsi="楷体" w:eastAsia="楷体" w:cs="楷体"/>
                <w:b w:val="0"/>
                <w:bCs w:val="0"/>
                <w:sz w:val="24"/>
                <w:szCs w:val="22"/>
                <w:highlight w:val="none"/>
                <w:vertAlign w:val="baseline"/>
                <w:lang w:val="en-US" w:eastAsia="zh-CN"/>
              </w:rPr>
              <w:t>26672.61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r>
              <w:rPr>
                <w:rFonts w:hint="eastAsia" w:ascii="楷体" w:hAnsi="楷体" w:eastAsia="楷体" w:cs="楷体"/>
                <w:b w:val="0"/>
                <w:bCs w:val="0"/>
                <w:sz w:val="24"/>
                <w:szCs w:val="22"/>
                <w:highlight w:val="none"/>
                <w:vertAlign w:val="baseline"/>
                <w:lang w:val="en-US" w:eastAsia="zh-CN"/>
              </w:rPr>
              <w:t>3</w:t>
            </w:r>
          </w:p>
        </w:tc>
        <w:tc>
          <w:tcPr>
            <w:tcW w:w="4420" w:type="dxa"/>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r>
              <w:rPr>
                <w:rFonts w:hint="eastAsia" w:ascii="楷体" w:hAnsi="楷体" w:eastAsia="楷体" w:cs="楷体"/>
                <w:b w:val="0"/>
                <w:bCs w:val="0"/>
                <w:sz w:val="24"/>
                <w:szCs w:val="22"/>
                <w:highlight w:val="none"/>
                <w:vertAlign w:val="baseline"/>
                <w:lang w:val="en-US" w:eastAsia="zh-CN"/>
              </w:rPr>
              <w:t>印刷费</w:t>
            </w:r>
          </w:p>
        </w:tc>
        <w:tc>
          <w:tcPr>
            <w:tcW w:w="3020" w:type="dxa"/>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r>
              <w:rPr>
                <w:rFonts w:hint="eastAsia" w:ascii="楷体" w:hAnsi="楷体" w:eastAsia="楷体" w:cs="楷体"/>
                <w:b w:val="0"/>
                <w:bCs w:val="0"/>
                <w:sz w:val="24"/>
                <w:szCs w:val="22"/>
                <w:highlight w:val="none"/>
                <w:vertAlign w:val="baseline"/>
                <w:lang w:val="en-US" w:eastAsia="zh-CN"/>
              </w:rPr>
              <w:t>346948.65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r>
              <w:rPr>
                <w:rFonts w:hint="eastAsia" w:ascii="楷体" w:hAnsi="楷体" w:eastAsia="楷体" w:cs="楷体"/>
                <w:b w:val="0"/>
                <w:bCs w:val="0"/>
                <w:sz w:val="24"/>
                <w:szCs w:val="22"/>
                <w:highlight w:val="none"/>
                <w:vertAlign w:val="baseline"/>
                <w:lang w:val="en-US" w:eastAsia="zh-CN"/>
              </w:rPr>
              <w:t>4</w:t>
            </w:r>
          </w:p>
        </w:tc>
        <w:tc>
          <w:tcPr>
            <w:tcW w:w="4420" w:type="dxa"/>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r>
              <w:rPr>
                <w:rFonts w:hint="eastAsia" w:ascii="楷体" w:hAnsi="楷体" w:eastAsia="楷体" w:cs="楷体"/>
                <w:b w:val="0"/>
                <w:bCs w:val="0"/>
                <w:sz w:val="24"/>
                <w:szCs w:val="22"/>
                <w:highlight w:val="none"/>
                <w:vertAlign w:val="baseline"/>
                <w:lang w:val="en-US" w:eastAsia="zh-CN"/>
              </w:rPr>
              <w:t>水费</w:t>
            </w:r>
          </w:p>
        </w:tc>
        <w:tc>
          <w:tcPr>
            <w:tcW w:w="3020" w:type="dxa"/>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r>
              <w:rPr>
                <w:rFonts w:hint="eastAsia" w:ascii="楷体" w:hAnsi="楷体" w:eastAsia="楷体" w:cs="楷体"/>
                <w:b w:val="0"/>
                <w:bCs w:val="0"/>
                <w:sz w:val="24"/>
                <w:szCs w:val="22"/>
                <w:highlight w:val="none"/>
                <w:vertAlign w:val="baseline"/>
                <w:lang w:val="en-US" w:eastAsia="zh-CN"/>
              </w:rPr>
              <w:t>63742.87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r>
              <w:rPr>
                <w:rFonts w:hint="eastAsia" w:ascii="楷体" w:hAnsi="楷体" w:eastAsia="楷体" w:cs="楷体"/>
                <w:b w:val="0"/>
                <w:bCs w:val="0"/>
                <w:sz w:val="24"/>
                <w:szCs w:val="22"/>
                <w:highlight w:val="none"/>
                <w:vertAlign w:val="baseline"/>
                <w:lang w:val="en-US" w:eastAsia="zh-CN"/>
              </w:rPr>
              <w:t>5</w:t>
            </w:r>
          </w:p>
        </w:tc>
        <w:tc>
          <w:tcPr>
            <w:tcW w:w="4420" w:type="dxa"/>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r>
              <w:rPr>
                <w:rFonts w:hint="eastAsia" w:ascii="楷体" w:hAnsi="楷体" w:eastAsia="楷体" w:cs="楷体"/>
                <w:b w:val="0"/>
                <w:bCs w:val="0"/>
                <w:sz w:val="24"/>
                <w:szCs w:val="22"/>
                <w:highlight w:val="none"/>
                <w:vertAlign w:val="baseline"/>
                <w:lang w:val="en-US" w:eastAsia="zh-CN"/>
              </w:rPr>
              <w:t>电费</w:t>
            </w:r>
          </w:p>
        </w:tc>
        <w:tc>
          <w:tcPr>
            <w:tcW w:w="3020" w:type="dxa"/>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r>
              <w:rPr>
                <w:rFonts w:hint="eastAsia" w:ascii="楷体" w:hAnsi="楷体" w:eastAsia="楷体" w:cs="楷体"/>
                <w:b w:val="0"/>
                <w:bCs w:val="0"/>
                <w:sz w:val="24"/>
                <w:szCs w:val="22"/>
                <w:highlight w:val="none"/>
                <w:vertAlign w:val="baseline"/>
                <w:lang w:val="en-US" w:eastAsia="zh-CN"/>
              </w:rPr>
              <w:t>187699.56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r>
              <w:rPr>
                <w:rFonts w:hint="eastAsia" w:ascii="楷体" w:hAnsi="楷体" w:eastAsia="楷体" w:cs="楷体"/>
                <w:b w:val="0"/>
                <w:bCs w:val="0"/>
                <w:sz w:val="24"/>
                <w:szCs w:val="22"/>
                <w:highlight w:val="none"/>
                <w:vertAlign w:val="baseline"/>
                <w:lang w:val="en-US" w:eastAsia="zh-CN"/>
              </w:rPr>
              <w:t>6</w:t>
            </w:r>
          </w:p>
        </w:tc>
        <w:tc>
          <w:tcPr>
            <w:tcW w:w="4420" w:type="dxa"/>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r>
              <w:rPr>
                <w:rFonts w:hint="eastAsia" w:ascii="楷体" w:hAnsi="楷体" w:eastAsia="楷体" w:cs="楷体"/>
                <w:b w:val="0"/>
                <w:bCs w:val="0"/>
                <w:sz w:val="24"/>
                <w:szCs w:val="22"/>
                <w:highlight w:val="none"/>
                <w:vertAlign w:val="baseline"/>
                <w:lang w:val="en-US" w:eastAsia="zh-CN"/>
              </w:rPr>
              <w:t>邮电费</w:t>
            </w:r>
          </w:p>
        </w:tc>
        <w:tc>
          <w:tcPr>
            <w:tcW w:w="3020" w:type="dxa"/>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r>
              <w:rPr>
                <w:rFonts w:hint="eastAsia" w:ascii="楷体" w:hAnsi="楷体" w:eastAsia="楷体" w:cs="楷体"/>
                <w:b w:val="0"/>
                <w:bCs w:val="0"/>
                <w:sz w:val="24"/>
                <w:szCs w:val="22"/>
                <w:highlight w:val="none"/>
                <w:vertAlign w:val="baseline"/>
                <w:lang w:val="en-US" w:eastAsia="zh-CN"/>
              </w:rPr>
              <w:t>26486.16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r>
              <w:rPr>
                <w:rFonts w:hint="eastAsia" w:ascii="楷体" w:hAnsi="楷体" w:eastAsia="楷体" w:cs="楷体"/>
                <w:b w:val="0"/>
                <w:bCs w:val="0"/>
                <w:sz w:val="24"/>
                <w:szCs w:val="22"/>
                <w:highlight w:val="none"/>
                <w:vertAlign w:val="baseline"/>
                <w:lang w:val="en-US" w:eastAsia="zh-CN"/>
              </w:rPr>
              <w:t>7</w:t>
            </w:r>
          </w:p>
        </w:tc>
        <w:tc>
          <w:tcPr>
            <w:tcW w:w="4420" w:type="dxa"/>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r>
              <w:rPr>
                <w:rFonts w:hint="eastAsia" w:ascii="楷体" w:hAnsi="楷体" w:eastAsia="楷体" w:cs="楷体"/>
                <w:b w:val="0"/>
                <w:bCs w:val="0"/>
                <w:sz w:val="24"/>
                <w:szCs w:val="22"/>
                <w:highlight w:val="none"/>
                <w:vertAlign w:val="baseline"/>
                <w:lang w:val="en-US" w:eastAsia="zh-CN"/>
              </w:rPr>
              <w:t>差旅费</w:t>
            </w:r>
          </w:p>
        </w:tc>
        <w:tc>
          <w:tcPr>
            <w:tcW w:w="3020" w:type="dxa"/>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r>
              <w:rPr>
                <w:rFonts w:hint="eastAsia" w:ascii="楷体" w:hAnsi="楷体" w:eastAsia="楷体" w:cs="楷体"/>
                <w:b w:val="0"/>
                <w:bCs w:val="0"/>
                <w:sz w:val="24"/>
                <w:szCs w:val="22"/>
                <w:highlight w:val="none"/>
                <w:vertAlign w:val="baseline"/>
                <w:lang w:val="en-US" w:eastAsia="zh-CN"/>
              </w:rPr>
              <w:t>5977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r>
              <w:rPr>
                <w:rFonts w:hint="eastAsia" w:ascii="楷体" w:hAnsi="楷体" w:eastAsia="楷体" w:cs="楷体"/>
                <w:b w:val="0"/>
                <w:bCs w:val="0"/>
                <w:sz w:val="24"/>
                <w:szCs w:val="22"/>
                <w:highlight w:val="none"/>
                <w:vertAlign w:val="baseline"/>
                <w:lang w:val="en-US" w:eastAsia="zh-CN"/>
              </w:rPr>
              <w:t>8</w:t>
            </w:r>
          </w:p>
        </w:tc>
        <w:tc>
          <w:tcPr>
            <w:tcW w:w="4420" w:type="dxa"/>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r>
              <w:rPr>
                <w:rFonts w:hint="eastAsia" w:ascii="楷体" w:hAnsi="楷体" w:eastAsia="楷体" w:cs="楷体"/>
                <w:b w:val="0"/>
                <w:bCs w:val="0"/>
                <w:sz w:val="24"/>
                <w:szCs w:val="22"/>
                <w:highlight w:val="none"/>
                <w:vertAlign w:val="baseline"/>
                <w:lang w:val="en-US" w:eastAsia="zh-CN"/>
              </w:rPr>
              <w:t>维修（护）费</w:t>
            </w:r>
          </w:p>
        </w:tc>
        <w:tc>
          <w:tcPr>
            <w:tcW w:w="3020" w:type="dxa"/>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r>
              <w:rPr>
                <w:rFonts w:hint="eastAsia" w:ascii="楷体" w:hAnsi="楷体" w:eastAsia="楷体" w:cs="楷体"/>
                <w:b w:val="0"/>
                <w:bCs w:val="0"/>
                <w:sz w:val="24"/>
                <w:szCs w:val="22"/>
                <w:highlight w:val="none"/>
                <w:vertAlign w:val="baseline"/>
                <w:lang w:val="en-US" w:eastAsia="zh-CN"/>
              </w:rPr>
              <w:t>31978.5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r>
              <w:rPr>
                <w:rFonts w:hint="eastAsia" w:ascii="楷体" w:hAnsi="楷体" w:eastAsia="楷体" w:cs="楷体"/>
                <w:b w:val="0"/>
                <w:bCs w:val="0"/>
                <w:sz w:val="24"/>
                <w:szCs w:val="22"/>
                <w:highlight w:val="none"/>
                <w:vertAlign w:val="baseline"/>
                <w:lang w:val="en-US" w:eastAsia="zh-CN"/>
              </w:rPr>
              <w:t>9</w:t>
            </w:r>
          </w:p>
        </w:tc>
        <w:tc>
          <w:tcPr>
            <w:tcW w:w="4420" w:type="dxa"/>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r>
              <w:rPr>
                <w:rFonts w:hint="eastAsia" w:ascii="楷体" w:hAnsi="楷体" w:eastAsia="楷体" w:cs="楷体"/>
                <w:b w:val="0"/>
                <w:bCs w:val="0"/>
                <w:sz w:val="24"/>
                <w:szCs w:val="22"/>
                <w:highlight w:val="none"/>
                <w:vertAlign w:val="baseline"/>
                <w:lang w:val="en-US" w:eastAsia="zh-CN"/>
              </w:rPr>
              <w:t>租赁费（实际为快检室水电费）</w:t>
            </w:r>
          </w:p>
        </w:tc>
        <w:tc>
          <w:tcPr>
            <w:tcW w:w="3020" w:type="dxa"/>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r>
              <w:rPr>
                <w:rFonts w:hint="eastAsia" w:ascii="楷体" w:hAnsi="楷体" w:eastAsia="楷体" w:cs="楷体"/>
                <w:b w:val="0"/>
                <w:bCs w:val="0"/>
                <w:sz w:val="24"/>
                <w:szCs w:val="22"/>
                <w:highlight w:val="none"/>
                <w:vertAlign w:val="baseline"/>
                <w:lang w:val="en-US" w:eastAsia="zh-CN"/>
              </w:rPr>
              <w:t>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r>
              <w:rPr>
                <w:rFonts w:hint="eastAsia" w:ascii="楷体" w:hAnsi="楷体" w:eastAsia="楷体" w:cs="楷体"/>
                <w:b w:val="0"/>
                <w:bCs w:val="0"/>
                <w:sz w:val="24"/>
                <w:szCs w:val="22"/>
                <w:highlight w:val="none"/>
                <w:vertAlign w:val="baseline"/>
                <w:lang w:val="en-US" w:eastAsia="zh-CN"/>
              </w:rPr>
              <w:t>10</w:t>
            </w:r>
          </w:p>
        </w:tc>
        <w:tc>
          <w:tcPr>
            <w:tcW w:w="4420" w:type="dxa"/>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r>
              <w:rPr>
                <w:rFonts w:hint="eastAsia" w:ascii="楷体" w:hAnsi="楷体" w:eastAsia="楷体" w:cs="楷体"/>
                <w:b w:val="0"/>
                <w:bCs w:val="0"/>
                <w:sz w:val="24"/>
                <w:szCs w:val="22"/>
                <w:highlight w:val="none"/>
                <w:vertAlign w:val="baseline"/>
                <w:lang w:val="en-US" w:eastAsia="zh-CN"/>
              </w:rPr>
              <w:t>培训费</w:t>
            </w:r>
          </w:p>
        </w:tc>
        <w:tc>
          <w:tcPr>
            <w:tcW w:w="3020" w:type="dxa"/>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r>
              <w:rPr>
                <w:rFonts w:hint="eastAsia" w:ascii="楷体" w:hAnsi="楷体" w:eastAsia="楷体" w:cs="楷体"/>
                <w:b w:val="0"/>
                <w:bCs w:val="0"/>
                <w:sz w:val="24"/>
                <w:szCs w:val="22"/>
                <w:highlight w:val="none"/>
                <w:vertAlign w:val="baseline"/>
                <w:lang w:val="en-US" w:eastAsia="zh-CN"/>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r>
              <w:rPr>
                <w:rFonts w:hint="eastAsia" w:ascii="楷体" w:hAnsi="楷体" w:eastAsia="楷体" w:cs="楷体"/>
                <w:b w:val="0"/>
                <w:bCs w:val="0"/>
                <w:sz w:val="24"/>
                <w:szCs w:val="22"/>
                <w:highlight w:val="none"/>
                <w:vertAlign w:val="baseline"/>
                <w:lang w:val="en-US" w:eastAsia="zh-CN"/>
              </w:rPr>
              <w:t>11</w:t>
            </w:r>
          </w:p>
        </w:tc>
        <w:tc>
          <w:tcPr>
            <w:tcW w:w="4420" w:type="dxa"/>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r>
              <w:rPr>
                <w:rFonts w:hint="eastAsia" w:ascii="楷体" w:hAnsi="楷体" w:eastAsia="楷体" w:cs="楷体"/>
                <w:b w:val="0"/>
                <w:bCs w:val="0"/>
                <w:sz w:val="24"/>
                <w:szCs w:val="22"/>
                <w:highlight w:val="none"/>
                <w:vertAlign w:val="baseline"/>
                <w:lang w:val="en-US" w:eastAsia="zh-CN"/>
              </w:rPr>
              <w:t>劳务费</w:t>
            </w:r>
          </w:p>
        </w:tc>
        <w:tc>
          <w:tcPr>
            <w:tcW w:w="3020" w:type="dxa"/>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r>
              <w:rPr>
                <w:rFonts w:hint="eastAsia" w:ascii="楷体" w:hAnsi="楷体" w:eastAsia="楷体" w:cs="楷体"/>
                <w:b w:val="0"/>
                <w:bCs w:val="0"/>
                <w:sz w:val="24"/>
                <w:szCs w:val="22"/>
                <w:highlight w:val="none"/>
                <w:vertAlign w:val="baseline"/>
                <w:lang w:val="en-US" w:eastAsia="zh-CN"/>
              </w:rPr>
              <w:t>163200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r>
              <w:rPr>
                <w:rFonts w:hint="eastAsia" w:ascii="楷体" w:hAnsi="楷体" w:eastAsia="楷体" w:cs="楷体"/>
                <w:b w:val="0"/>
                <w:bCs w:val="0"/>
                <w:sz w:val="24"/>
                <w:szCs w:val="22"/>
                <w:highlight w:val="none"/>
                <w:vertAlign w:val="baseline"/>
                <w:lang w:val="en-US" w:eastAsia="zh-CN"/>
              </w:rPr>
              <w:t>12</w:t>
            </w:r>
          </w:p>
        </w:tc>
        <w:tc>
          <w:tcPr>
            <w:tcW w:w="4420" w:type="dxa"/>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r>
              <w:rPr>
                <w:rFonts w:hint="eastAsia" w:ascii="楷体" w:hAnsi="楷体" w:eastAsia="楷体" w:cs="楷体"/>
                <w:b w:val="0"/>
                <w:bCs w:val="0"/>
                <w:sz w:val="24"/>
                <w:szCs w:val="22"/>
                <w:highlight w:val="none"/>
                <w:vertAlign w:val="baseline"/>
                <w:lang w:val="en-US" w:eastAsia="zh-CN"/>
              </w:rPr>
              <w:t>其他商品和服务支出（各分局加班餐费、宣传费等）</w:t>
            </w:r>
          </w:p>
        </w:tc>
        <w:tc>
          <w:tcPr>
            <w:tcW w:w="3020" w:type="dxa"/>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r>
              <w:rPr>
                <w:rFonts w:hint="eastAsia" w:ascii="楷体" w:hAnsi="楷体" w:eastAsia="楷体" w:cs="楷体"/>
                <w:b w:val="0"/>
                <w:bCs w:val="0"/>
                <w:sz w:val="24"/>
                <w:szCs w:val="22"/>
                <w:highlight w:val="none"/>
                <w:vertAlign w:val="baseline"/>
                <w:lang w:val="en-US" w:eastAsia="zh-CN"/>
              </w:rPr>
              <w:t>286648.4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r>
              <w:rPr>
                <w:rFonts w:hint="eastAsia" w:ascii="楷体" w:hAnsi="楷体" w:eastAsia="楷体" w:cs="楷体"/>
                <w:b w:val="0"/>
                <w:bCs w:val="0"/>
                <w:sz w:val="24"/>
                <w:szCs w:val="22"/>
                <w:highlight w:val="none"/>
                <w:vertAlign w:val="baseline"/>
                <w:lang w:val="en-US" w:eastAsia="zh-CN"/>
              </w:rPr>
              <w:t>13</w:t>
            </w:r>
          </w:p>
        </w:tc>
        <w:tc>
          <w:tcPr>
            <w:tcW w:w="4420" w:type="dxa"/>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r>
              <w:rPr>
                <w:rFonts w:hint="eastAsia" w:ascii="楷体" w:hAnsi="楷体" w:eastAsia="楷体" w:cs="楷体"/>
                <w:b w:val="0"/>
                <w:bCs w:val="0"/>
                <w:sz w:val="24"/>
                <w:szCs w:val="22"/>
                <w:highlight w:val="none"/>
                <w:vertAlign w:val="baseline"/>
                <w:lang w:val="en-US" w:eastAsia="zh-CN"/>
              </w:rPr>
              <w:t>专用设备购置（监控设备）</w:t>
            </w:r>
          </w:p>
        </w:tc>
        <w:tc>
          <w:tcPr>
            <w:tcW w:w="3020" w:type="dxa"/>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r>
              <w:rPr>
                <w:rFonts w:hint="eastAsia" w:ascii="楷体" w:hAnsi="楷体" w:eastAsia="楷体" w:cs="楷体"/>
                <w:b w:val="0"/>
                <w:bCs w:val="0"/>
                <w:sz w:val="24"/>
                <w:szCs w:val="22"/>
                <w:highlight w:val="none"/>
                <w:vertAlign w:val="baseline"/>
                <w:lang w:val="en-US" w:eastAsia="zh-CN"/>
              </w:rPr>
              <w:t>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0" w:type="dxa"/>
            <w:gridSpan w:val="2"/>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r>
              <w:rPr>
                <w:rFonts w:hint="eastAsia" w:ascii="楷体" w:hAnsi="楷体" w:eastAsia="楷体" w:cs="楷体"/>
                <w:b w:val="0"/>
                <w:bCs w:val="0"/>
                <w:sz w:val="24"/>
                <w:szCs w:val="22"/>
                <w:highlight w:val="none"/>
                <w:vertAlign w:val="baseline"/>
                <w:lang w:val="en-US" w:eastAsia="zh-CN"/>
              </w:rPr>
              <w:t>合计</w:t>
            </w:r>
          </w:p>
        </w:tc>
        <w:tc>
          <w:tcPr>
            <w:tcW w:w="3020" w:type="dxa"/>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vertAlign w:val="baseline"/>
                <w:lang w:val="en-US" w:eastAsia="zh-CN"/>
              </w:rPr>
            </w:pPr>
            <w:r>
              <w:rPr>
                <w:rFonts w:hint="eastAsia" w:ascii="楷体" w:hAnsi="楷体" w:eastAsia="楷体" w:cs="楷体"/>
                <w:b w:val="0"/>
                <w:bCs w:val="0"/>
                <w:sz w:val="24"/>
                <w:szCs w:val="22"/>
                <w:highlight w:val="none"/>
                <w:vertAlign w:val="baseline"/>
                <w:lang w:val="en-US" w:eastAsia="zh-CN"/>
              </w:rPr>
              <w:t>1006767.5</w:t>
            </w:r>
          </w:p>
        </w:tc>
      </w:tr>
    </w:tbl>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default" w:ascii="楷体" w:hAnsi="楷体" w:eastAsia="楷体" w:cs="楷体"/>
          <w:b w:val="0"/>
          <w:bCs w:val="0"/>
          <w:sz w:val="24"/>
          <w:szCs w:val="22"/>
          <w:highlight w:val="none"/>
          <w:lang w:val="en-US" w:eastAsia="zh-CN"/>
        </w:rPr>
      </w:pPr>
    </w:p>
    <w:p>
      <w:pPr>
        <w:pStyle w:val="3"/>
        <w:spacing w:before="204" w:after="204"/>
      </w:pPr>
      <w:bookmarkStart w:id="8" w:name="_Toc20049"/>
      <w:bookmarkStart w:id="9" w:name="_Toc27110"/>
      <w:r>
        <w:rPr>
          <w:rFonts w:hint="eastAsia"/>
        </w:rPr>
        <w:t>（二）项目绩效目标</w:t>
      </w:r>
      <w:bookmarkEnd w:id="8"/>
      <w:bookmarkEnd w:id="9"/>
    </w:p>
    <w:p>
      <w:pPr>
        <w:pStyle w:val="4"/>
        <w:rPr>
          <w:rFonts w:hint="eastAsia"/>
        </w:rPr>
      </w:pPr>
      <w:bookmarkStart w:id="10" w:name="_Toc15218"/>
      <w:r>
        <w:rPr>
          <w:rFonts w:hint="eastAsia"/>
        </w:rPr>
        <w:t>1、总体目标</w:t>
      </w:r>
      <w:bookmarkEnd w:id="10"/>
    </w:p>
    <w:p>
      <w:pPr>
        <w:bidi w:val="0"/>
        <w:rPr>
          <w:rFonts w:hint="default"/>
          <w:lang w:val="en-US" w:eastAsia="zh-CN"/>
        </w:rPr>
      </w:pPr>
      <w:bookmarkStart w:id="11" w:name="_Toc19061"/>
      <w:r>
        <w:rPr>
          <w:rFonts w:hint="eastAsia"/>
          <w:lang w:val="en-US" w:eastAsia="zh-CN"/>
        </w:rPr>
        <w:t>依据区市场监督管理局填报的创建国家食品安全示范城市和全国文明城市项目预算绩效目标申报表，项目总目标为：通过国家食品安全示范城市创建工作，食品安全监管体制和执法机制通畅，食品药品安全专项治理全过程监管稳步推进，食品安全责任层层落实，长效监管机制逐步完善，全区食品安全状况总体平稳。</w:t>
      </w:r>
    </w:p>
    <w:p>
      <w:pPr>
        <w:pStyle w:val="4"/>
        <w:rPr>
          <w:rFonts w:hint="eastAsia"/>
        </w:rPr>
      </w:pPr>
      <w:r>
        <w:rPr>
          <w:rFonts w:hint="eastAsia"/>
        </w:rPr>
        <w:t>2、阶段性目标</w:t>
      </w:r>
      <w:bookmarkEnd w:id="11"/>
    </w:p>
    <w:p>
      <w:pPr>
        <w:rPr>
          <w:rFonts w:hint="default" w:eastAsia="宋体"/>
          <w:lang w:val="en-US" w:eastAsia="zh-CN"/>
        </w:rPr>
      </w:pPr>
      <w:r>
        <w:rPr>
          <w:rFonts w:hint="eastAsia"/>
        </w:rPr>
        <w:t>依据区市场监督管理局填报的创建国家食品安全示范城市和全国文明城市项目预算绩效目标申报表，项目</w:t>
      </w:r>
      <w:r>
        <w:rPr>
          <w:rFonts w:hint="eastAsia"/>
          <w:lang w:val="en-US" w:eastAsia="zh-CN"/>
        </w:rPr>
        <w:t>阶段性目标</w:t>
      </w:r>
      <w:r>
        <w:rPr>
          <w:rFonts w:hint="eastAsia"/>
        </w:rPr>
        <w:t>为：</w:t>
      </w:r>
      <w:r>
        <w:rPr>
          <w:rFonts w:hint="eastAsia"/>
          <w:lang w:val="en-US" w:eastAsia="zh-CN"/>
        </w:rPr>
        <w:t>当地群众食品安全总体满意度达70%以上、创建工作的知晓率达75%以上、创建工作的支持率达85%以上。</w:t>
      </w:r>
    </w:p>
    <w:p>
      <w:pPr>
        <w:pStyle w:val="2"/>
      </w:pPr>
      <w:bookmarkStart w:id="12" w:name="_Toc13150"/>
      <w:bookmarkStart w:id="13" w:name="_Toc28807"/>
      <w:bookmarkStart w:id="14" w:name="_Toc20405"/>
      <w:bookmarkStart w:id="15" w:name="_Toc22720"/>
      <w:r>
        <w:rPr>
          <w:rFonts w:hint="eastAsia"/>
        </w:rPr>
        <w:t>二、绩效评价工作开展情况</w:t>
      </w:r>
      <w:bookmarkEnd w:id="12"/>
      <w:bookmarkEnd w:id="13"/>
      <w:bookmarkEnd w:id="14"/>
    </w:p>
    <w:p>
      <w:pPr>
        <w:pStyle w:val="3"/>
        <w:spacing w:before="204" w:after="204"/>
      </w:pPr>
      <w:bookmarkStart w:id="16" w:name="_Toc7846"/>
      <w:bookmarkStart w:id="17" w:name="_Toc25005"/>
      <w:bookmarkStart w:id="18" w:name="_Toc20940"/>
      <w:r>
        <w:rPr>
          <w:rFonts w:hint="eastAsia"/>
        </w:rPr>
        <w:t>（一）绩效评价目的、对象和范围</w:t>
      </w:r>
      <w:bookmarkEnd w:id="16"/>
      <w:bookmarkEnd w:id="17"/>
      <w:bookmarkEnd w:id="18"/>
    </w:p>
    <w:p>
      <w:pPr>
        <w:pStyle w:val="4"/>
      </w:pPr>
      <w:bookmarkStart w:id="19" w:name="_Toc4598"/>
      <w:bookmarkStart w:id="20" w:name="_Toc23537"/>
      <w:r>
        <w:rPr>
          <w:rFonts w:hint="eastAsia"/>
        </w:rPr>
        <w:t>1、绩效评价的目的</w:t>
      </w:r>
      <w:bookmarkEnd w:id="19"/>
      <w:bookmarkEnd w:id="20"/>
    </w:p>
    <w:p>
      <w:pPr>
        <w:ind w:firstLine="560"/>
      </w:pPr>
      <w:r>
        <w:rPr>
          <w:rFonts w:hint="eastAsia"/>
        </w:rPr>
        <w:t>根据财政支出项目设定的预期目标，选择合适的评价指标和标准，运用科学的评价方法，对资金使用全过程及其支出的经济性、效率性和效益性进行客观公正的综合评价，以衡量财政资金的使用绩效，分析检验支出项目是否达到预期目标。同时，及时总结经验，分析存在问题，进一步改进和加强资金管理，提高财政资金的使用效益。根据财政绩效评价的要求和项目实际情况，本次绩效评价的目的主要有：</w:t>
      </w:r>
    </w:p>
    <w:p>
      <w:pPr>
        <w:ind w:firstLine="560"/>
      </w:pPr>
      <w:r>
        <w:rPr>
          <w:rFonts w:hint="eastAsia"/>
        </w:rPr>
        <w:t>①了解各项目资金的使用情况、项目成效及社会效益等信息；</w:t>
      </w:r>
    </w:p>
    <w:p>
      <w:pPr>
        <w:ind w:firstLine="560"/>
      </w:pPr>
      <w:r>
        <w:rPr>
          <w:rFonts w:hint="eastAsia"/>
        </w:rPr>
        <w:t>②发现和找出资金使用中或项目管理中的不足和问题，并进行深入研究和分析；</w:t>
      </w:r>
    </w:p>
    <w:p>
      <w:pPr>
        <w:ind w:firstLine="560"/>
      </w:pPr>
      <w:r>
        <w:rPr>
          <w:rFonts w:hint="eastAsia"/>
        </w:rPr>
        <w:t>③针对绩效评价中发现的项目中存在的不足和问题，提出有针对性和可行性的改进建议，为改善后续工作提供有效借鉴，以促进资金使用效率的提高和项目效益的增强。</w:t>
      </w:r>
    </w:p>
    <w:p>
      <w:pPr>
        <w:pStyle w:val="4"/>
      </w:pPr>
      <w:bookmarkStart w:id="21" w:name="_Toc24843"/>
      <w:bookmarkStart w:id="22" w:name="_Toc27672"/>
      <w:r>
        <w:rPr>
          <w:rFonts w:hint="eastAsia"/>
        </w:rPr>
        <w:t>2、绩效评价的对象和范围</w:t>
      </w:r>
      <w:bookmarkEnd w:id="21"/>
      <w:bookmarkEnd w:id="22"/>
    </w:p>
    <w:p>
      <w:pPr>
        <w:ind w:firstLine="560"/>
      </w:pPr>
      <w:r>
        <w:rPr>
          <w:rFonts w:hint="eastAsia"/>
        </w:rPr>
        <w:t>本次预算绩效评价的对象和范围为纳入</w:t>
      </w:r>
      <w:r>
        <w:rPr>
          <w:rFonts w:hint="eastAsia"/>
          <w:lang w:val="en-US" w:eastAsia="zh-CN"/>
        </w:rPr>
        <w:t>东湖区市场监督管理局</w:t>
      </w:r>
      <w:r>
        <w:rPr>
          <w:rFonts w:hint="eastAsia"/>
          <w:lang w:eastAsia="zh-CN"/>
        </w:rPr>
        <w:t>食安城建设项目</w:t>
      </w:r>
      <w:r>
        <w:rPr>
          <w:rFonts w:hint="eastAsia"/>
        </w:rPr>
        <w:t>的预算资金，合计</w:t>
      </w:r>
      <w:r>
        <w:rPr>
          <w:rFonts w:hint="eastAsia"/>
          <w:lang w:val="en-US" w:eastAsia="zh-CN"/>
        </w:rPr>
        <w:t>100万</w:t>
      </w:r>
      <w:r>
        <w:rPr>
          <w:rFonts w:hint="eastAsia"/>
        </w:rPr>
        <w:t>元。</w:t>
      </w:r>
    </w:p>
    <w:p>
      <w:pPr>
        <w:pStyle w:val="3"/>
        <w:spacing w:before="204" w:after="204"/>
      </w:pPr>
      <w:bookmarkStart w:id="23" w:name="_Toc23662"/>
      <w:bookmarkStart w:id="24" w:name="_Toc18065"/>
      <w:bookmarkStart w:id="25" w:name="_Toc8456"/>
      <w:r>
        <w:rPr>
          <w:rFonts w:hint="eastAsia"/>
        </w:rPr>
        <w:t>（二）绩效评价原则、评价指标体系、评价方法、评价标准等</w:t>
      </w:r>
      <w:bookmarkEnd w:id="23"/>
      <w:bookmarkEnd w:id="24"/>
      <w:bookmarkEnd w:id="25"/>
    </w:p>
    <w:p>
      <w:pPr>
        <w:pStyle w:val="4"/>
      </w:pPr>
      <w:bookmarkStart w:id="26" w:name="_Toc4683"/>
      <w:bookmarkStart w:id="27" w:name="_Toc17746"/>
      <w:r>
        <w:rPr>
          <w:rFonts w:hint="eastAsia"/>
        </w:rPr>
        <w:t>1、绩效评价的原则</w:t>
      </w:r>
      <w:bookmarkEnd w:id="26"/>
      <w:bookmarkEnd w:id="27"/>
    </w:p>
    <w:p>
      <w:pPr>
        <w:ind w:firstLine="560"/>
      </w:pPr>
      <w:r>
        <w:rPr>
          <w:rFonts w:hint="eastAsia"/>
        </w:rPr>
        <w:t>绩效评价应当遵循以下基本原则：</w:t>
      </w:r>
    </w:p>
    <w:p>
      <w:pPr>
        <w:ind w:firstLine="560"/>
      </w:pPr>
      <w:r>
        <w:rPr>
          <w:rFonts w:hint="eastAsia"/>
        </w:rPr>
        <w:t>①科学规范。绩效评价注重财政支出的经济性、效率性和有效性，严格执行规定的程序，采用定量与定性分析相结合的方法。</w:t>
      </w:r>
    </w:p>
    <w:p>
      <w:pPr>
        <w:ind w:firstLine="560"/>
      </w:pPr>
      <w:r>
        <w:rPr>
          <w:rFonts w:hint="eastAsia"/>
        </w:rPr>
        <w:t>②公正公开。绩效评价客观、公正，标准统一、资料可靠，依法公开并接受监督。</w:t>
      </w:r>
    </w:p>
    <w:p>
      <w:pPr>
        <w:ind w:firstLine="560"/>
      </w:pPr>
      <w:r>
        <w:rPr>
          <w:rFonts w:hint="eastAsia"/>
        </w:rPr>
        <w:t>③分级分类。绩效评价由各级财政部门、部门（单位）根据评价对象的特点，分类组织实施。</w:t>
      </w:r>
    </w:p>
    <w:p>
      <w:pPr>
        <w:ind w:firstLine="560"/>
        <w:rPr>
          <w:rFonts w:hint="eastAsia"/>
        </w:rPr>
      </w:pPr>
      <w:r>
        <w:rPr>
          <w:rFonts w:hint="eastAsia"/>
        </w:rPr>
        <w:t>④绩效相关。绩效评价针对具体支出及其产出绩效进行，评价结果清晰反映支出和产出绩效之间的紧密对应关系。</w:t>
      </w:r>
    </w:p>
    <w:p>
      <w:pPr>
        <w:pStyle w:val="4"/>
        <w:bidi w:val="0"/>
        <w:rPr>
          <w:lang w:val="en-US" w:eastAsia="zh-CN"/>
        </w:rPr>
      </w:pPr>
      <w:bookmarkStart w:id="28" w:name="_Toc27101"/>
      <w:bookmarkStart w:id="29" w:name="_Toc31402"/>
      <w:r>
        <w:rPr>
          <w:rFonts w:hint="eastAsia"/>
          <w:lang w:val="en-US" w:eastAsia="zh-CN"/>
        </w:rPr>
        <w:t>2、评价指标体系</w:t>
      </w:r>
      <w:bookmarkEnd w:id="28"/>
      <w:bookmarkEnd w:id="29"/>
    </w:p>
    <w:p>
      <w:pPr>
        <w:bidi w:val="0"/>
        <w:rPr>
          <w:rFonts w:hint="eastAsia" w:ascii="Times New Roman" w:hAnsi="Times New Roman" w:eastAsia="宋体"/>
          <w:b/>
          <w:bCs/>
        </w:rPr>
      </w:pPr>
      <w:r>
        <w:rPr>
          <w:rFonts w:hint="eastAsia" w:ascii="Times New Roman" w:hAnsi="Times New Roman" w:eastAsia="宋体"/>
          <w:b/>
          <w:bCs/>
        </w:rPr>
        <w:t>（1）绩效评价指标体系设计原则</w:t>
      </w:r>
    </w:p>
    <w:p>
      <w:pPr>
        <w:bidi w:val="0"/>
        <w:rPr>
          <w:rFonts w:hint="eastAsia" w:ascii="Times New Roman" w:hAnsi="Times New Roman" w:eastAsia="宋体"/>
        </w:rPr>
      </w:pPr>
      <w:r>
        <w:rPr>
          <w:rFonts w:hint="eastAsia" w:ascii="Times New Roman" w:hAnsi="Times New Roman" w:eastAsia="宋体"/>
        </w:rPr>
        <w:t>绩效评价指标是指衡量绩效目标实现程度的考核工具，应当遵循以下原则：</w:t>
      </w:r>
    </w:p>
    <w:p>
      <w:pPr>
        <w:bidi w:val="0"/>
        <w:rPr>
          <w:rFonts w:hint="eastAsia" w:ascii="Times New Roman" w:hAnsi="Times New Roman" w:eastAsia="宋体"/>
        </w:rPr>
      </w:pPr>
      <w:r>
        <w:rPr>
          <w:rFonts w:hint="eastAsia" w:ascii="Times New Roman" w:hAnsi="Times New Roman" w:eastAsia="宋体"/>
        </w:rPr>
        <w:t>①相关性原则。应当与绩效目标有直接的联系，能够恰当反映目标的实现程度。</w:t>
      </w:r>
    </w:p>
    <w:p>
      <w:pPr>
        <w:bidi w:val="0"/>
        <w:rPr>
          <w:rFonts w:hint="eastAsia" w:ascii="Times New Roman" w:hAnsi="Times New Roman" w:eastAsia="宋体"/>
        </w:rPr>
      </w:pPr>
      <w:r>
        <w:rPr>
          <w:rFonts w:hint="eastAsia" w:ascii="Times New Roman" w:hAnsi="Times New Roman" w:eastAsia="宋体"/>
        </w:rPr>
        <w:t>②重要性原则。应当优先使用最具评价对象代表性、最能反映评价要求的核心指标。</w:t>
      </w:r>
    </w:p>
    <w:p>
      <w:pPr>
        <w:bidi w:val="0"/>
        <w:rPr>
          <w:rFonts w:hint="eastAsia" w:ascii="Times New Roman" w:hAnsi="Times New Roman" w:eastAsia="宋体"/>
        </w:rPr>
      </w:pPr>
      <w:r>
        <w:rPr>
          <w:rFonts w:hint="eastAsia" w:ascii="Times New Roman" w:hAnsi="Times New Roman" w:eastAsia="宋体"/>
        </w:rPr>
        <w:t>③可比性原则。对同类评价对象要设定共性的绩效评价指标，以便于评价结果可以相互比较。</w:t>
      </w:r>
    </w:p>
    <w:p>
      <w:pPr>
        <w:bidi w:val="0"/>
        <w:rPr>
          <w:rFonts w:hint="eastAsia" w:ascii="Times New Roman" w:hAnsi="Times New Roman" w:eastAsia="宋体"/>
        </w:rPr>
      </w:pPr>
      <w:r>
        <w:rPr>
          <w:rFonts w:hint="eastAsia" w:ascii="Times New Roman" w:hAnsi="Times New Roman" w:eastAsia="宋体"/>
        </w:rPr>
        <w:t>④系统性原则。应当将定量指标与定性指标相结合，系统反映财政支出所产生的社会效益、经济效益、环境效益和可持续影响等。</w:t>
      </w:r>
    </w:p>
    <w:p>
      <w:pPr>
        <w:bidi w:val="0"/>
        <w:rPr>
          <w:rFonts w:hint="eastAsia" w:ascii="Times New Roman" w:hAnsi="Times New Roman" w:eastAsia="宋体"/>
        </w:rPr>
      </w:pPr>
      <w:r>
        <w:rPr>
          <w:rFonts w:hint="eastAsia" w:ascii="Times New Roman" w:hAnsi="Times New Roman" w:eastAsia="宋体"/>
        </w:rPr>
        <w:t>⑤经济性原则。应当通俗易懂、简便易行，数据的获得应当考虑现实条件和可操作性，符合成本效益原则。</w:t>
      </w:r>
    </w:p>
    <w:p>
      <w:pPr>
        <w:bidi w:val="0"/>
        <w:rPr>
          <w:rFonts w:hint="eastAsia" w:ascii="Times New Roman" w:hAnsi="Times New Roman" w:eastAsia="宋体"/>
          <w:b/>
          <w:bCs/>
        </w:rPr>
      </w:pPr>
      <w:r>
        <w:rPr>
          <w:rFonts w:hint="eastAsia" w:ascii="Times New Roman" w:hAnsi="Times New Roman" w:eastAsia="宋体"/>
          <w:b/>
          <w:bCs/>
        </w:rPr>
        <w:t xml:space="preserve">（2）绩效评价指标体系设计思路 </w:t>
      </w:r>
    </w:p>
    <w:p>
      <w:pPr>
        <w:bidi w:val="0"/>
        <w:rPr>
          <w:rFonts w:hint="eastAsia" w:ascii="Times New Roman" w:hAnsi="Times New Roman" w:eastAsia="宋体"/>
        </w:rPr>
      </w:pPr>
      <w:r>
        <w:rPr>
          <w:rFonts w:hint="eastAsia" w:ascii="Times New Roman" w:hAnsi="Times New Roman" w:eastAsia="宋体"/>
        </w:rPr>
        <w:t>从绩效指标设计的基本原则分析，结合项目实际情况，评价指标设计应重点包括四部分内容，一是项目决策指标，即通过评价项目立项依据充分性、立项程序规范性、绩效目标合理性、绩效指标明确性、预算编制科学性及资金分配合理性来分析项目决策是否科学合理；二是项目过程指标，即通过评价项目资金到位率、预算资金执行率、资金使用合规性、管理制度健全性及制度执行有效性来分析项目实施过程所采取的组织措施是否完备；三是项目产出指标，即从产出的数量指标、质量指标、时效指标和成本指标分析</w:t>
      </w:r>
      <w:r>
        <w:rPr>
          <w:rFonts w:hint="eastAsia" w:ascii="Times New Roman" w:hAnsi="Times New Roman" w:eastAsia="宋体"/>
          <w:lang w:val="en-US" w:eastAsia="zh-CN"/>
        </w:rPr>
        <w:t>项目各项工作是否</w:t>
      </w:r>
      <w:r>
        <w:rPr>
          <w:rFonts w:hint="eastAsia" w:ascii="Times New Roman" w:hAnsi="Times New Roman" w:eastAsia="宋体"/>
        </w:rPr>
        <w:t>及时执行到位，检测是否符合预期质量要求，检测成本是否合理等；四是项目效益指标，即通过对</w:t>
      </w:r>
      <w:r>
        <w:rPr>
          <w:rFonts w:hint="eastAsia" w:ascii="Times New Roman" w:hAnsi="Times New Roman" w:eastAsia="宋体"/>
          <w:lang w:val="en-US" w:eastAsia="zh-CN"/>
        </w:rPr>
        <w:t>实施</w:t>
      </w:r>
      <w:r>
        <w:rPr>
          <w:rFonts w:hint="eastAsia"/>
          <w:lang w:val="en-US" w:eastAsia="zh-CN"/>
        </w:rPr>
        <w:t>项目评估评审工作</w:t>
      </w:r>
      <w:r>
        <w:rPr>
          <w:rFonts w:hint="eastAsia" w:ascii="Times New Roman" w:hAnsi="Times New Roman" w:eastAsia="宋体"/>
        </w:rPr>
        <w:t>产生的社会效益以及可持续影响等方面进行全面分析，以验证</w:t>
      </w:r>
      <w:r>
        <w:rPr>
          <w:rFonts w:hint="eastAsia"/>
          <w:lang w:val="en-US" w:eastAsia="zh-CN"/>
        </w:rPr>
        <w:t>食安城建设项目</w:t>
      </w:r>
      <w:r>
        <w:rPr>
          <w:rFonts w:hint="eastAsia" w:ascii="Times New Roman" w:hAnsi="Times New Roman" w:eastAsia="宋体"/>
        </w:rPr>
        <w:t>资金的使用是否产生了积极良好的效果，是否达成了预期目标。通过对社会公众及服务对象进行满意度调查，了解其对项目实施效果的满意情况以及</w:t>
      </w:r>
      <w:r>
        <w:rPr>
          <w:rFonts w:hint="eastAsia"/>
          <w:lang w:val="en-US" w:eastAsia="zh-CN"/>
        </w:rPr>
        <w:t>项目评估评审工作</w:t>
      </w:r>
      <w:r>
        <w:rPr>
          <w:rFonts w:hint="eastAsia" w:ascii="Times New Roman" w:hAnsi="Times New Roman" w:eastAsia="宋体"/>
          <w:lang w:val="en-US" w:eastAsia="zh-CN"/>
        </w:rPr>
        <w:t>开展</w:t>
      </w:r>
      <w:r>
        <w:rPr>
          <w:rFonts w:hint="eastAsia" w:ascii="Times New Roman" w:hAnsi="Times New Roman" w:eastAsia="宋体"/>
        </w:rPr>
        <w:t>情况的真实态度。</w:t>
      </w:r>
    </w:p>
    <w:p>
      <w:pPr>
        <w:bidi w:val="0"/>
        <w:rPr>
          <w:rFonts w:hint="eastAsia" w:ascii="Times New Roman" w:hAnsi="Times New Roman" w:eastAsia="宋体" w:cs="Times New Roman"/>
          <w:b/>
          <w:bCs/>
          <w:kern w:val="2"/>
          <w:sz w:val="28"/>
          <w:szCs w:val="32"/>
          <w:lang w:val="en-US" w:eastAsia="zh-CN" w:bidi="ar-SA"/>
        </w:rPr>
      </w:pPr>
      <w:r>
        <w:rPr>
          <w:rFonts w:hint="eastAsia" w:ascii="Times New Roman" w:hAnsi="Times New Roman" w:eastAsia="宋体" w:cs="Times New Roman"/>
          <w:b/>
          <w:bCs/>
          <w:kern w:val="2"/>
          <w:sz w:val="28"/>
          <w:szCs w:val="32"/>
          <w:lang w:val="en-US" w:eastAsia="zh-CN" w:bidi="ar-SA"/>
        </w:rPr>
        <w:t>（3）绩效评价指标体系设计流程</w:t>
      </w:r>
    </w:p>
    <w:p>
      <w:pPr>
        <w:bidi w:val="0"/>
        <w:rPr>
          <w:rFonts w:hint="eastAsia" w:ascii="Times New Roman" w:hAnsi="Times New Roman" w:eastAsia="宋体"/>
        </w:rPr>
      </w:pPr>
      <w:r>
        <w:rPr>
          <w:rFonts w:hint="eastAsia" w:ascii="Times New Roman" w:hAnsi="Times New Roman" w:eastAsia="宋体"/>
        </w:rPr>
        <w:t>首先对预算资金的功能进行梳理，包括资金性质、支出范围、实施内容、工作任务、受益对象等，明确</w:t>
      </w:r>
      <w:r>
        <w:rPr>
          <w:rFonts w:hint="eastAsia"/>
          <w:lang w:val="en-US" w:eastAsia="zh-CN"/>
        </w:rPr>
        <w:t>食安城建设项目</w:t>
      </w:r>
      <w:r>
        <w:rPr>
          <w:rFonts w:hint="eastAsia" w:ascii="Times New Roman" w:hAnsi="Times New Roman" w:eastAsia="宋体"/>
          <w:lang w:val="en-US" w:eastAsia="zh-CN"/>
        </w:rPr>
        <w:t>的</w:t>
      </w:r>
      <w:r>
        <w:rPr>
          <w:rFonts w:hint="eastAsia" w:ascii="Times New Roman" w:hAnsi="Times New Roman" w:eastAsia="宋体"/>
        </w:rPr>
        <w:t>功能特性，确定预算执行能够取得的直接产出成果有哪些，进而确定产出数量指标；其次逐项对照上级下达的任务要求、工作计划设定值、行业标准值、预算相应匹配值等，合理选择产出质量指标；然后将预算执行的各项工作进行分解，</w:t>
      </w:r>
      <w:r>
        <w:rPr>
          <w:rFonts w:hint="eastAsia" w:ascii="Times New Roman" w:hAnsi="Times New Roman" w:eastAsia="宋体"/>
          <w:lang w:val="en-US" w:eastAsia="zh-CN"/>
        </w:rPr>
        <w:t>确定各项工作的完成时限</w:t>
      </w:r>
      <w:r>
        <w:rPr>
          <w:rFonts w:hint="eastAsia" w:ascii="Times New Roman" w:hAnsi="Times New Roman" w:eastAsia="宋体"/>
        </w:rPr>
        <w:t>，确定产出时效指标；再根据预算资金和已设立的产出数量指标，通过成本分析确定产出成本指标；最后根据</w:t>
      </w:r>
      <w:r>
        <w:rPr>
          <w:rFonts w:hint="eastAsia"/>
          <w:lang w:val="en-US" w:eastAsia="zh-CN"/>
        </w:rPr>
        <w:t>食安城建设项目</w:t>
      </w:r>
      <w:r>
        <w:rPr>
          <w:rFonts w:hint="eastAsia" w:ascii="Times New Roman" w:hAnsi="Times New Roman" w:eastAsia="宋体"/>
        </w:rPr>
        <w:t>实施产生的影响确定社会效益指标、可持续影响指标及项目满意度指标。</w:t>
      </w:r>
    </w:p>
    <w:p>
      <w:pPr>
        <w:bidi w:val="0"/>
        <w:rPr>
          <w:rFonts w:hint="eastAsia" w:ascii="Times New Roman" w:hAnsi="Times New Roman" w:eastAsia="宋体"/>
          <w:b/>
          <w:bCs/>
        </w:rPr>
      </w:pPr>
      <w:r>
        <w:rPr>
          <w:rFonts w:hint="eastAsia" w:ascii="Times New Roman" w:hAnsi="Times New Roman" w:eastAsia="宋体"/>
          <w:b/>
          <w:bCs/>
        </w:rPr>
        <w:t>（4）绩效评价指标体系</w:t>
      </w:r>
    </w:p>
    <w:p>
      <w:pPr>
        <w:bidi w:val="0"/>
        <w:rPr>
          <w:rFonts w:hint="eastAsia" w:ascii="Times New Roman" w:hAnsi="Times New Roman" w:eastAsia="宋体"/>
        </w:rPr>
      </w:pPr>
      <w:r>
        <w:rPr>
          <w:rFonts w:hint="eastAsia" w:ascii="Times New Roman" w:hAnsi="Times New Roman" w:eastAsia="宋体"/>
        </w:rPr>
        <w:t xml:space="preserve"> 根据绩效评价的基本原理、原则和项目特点，结合财政部《项目支出绩效评价管理办法》（财预〔2020〕10 号）有关要求设置，本次绩效评价指标体系包括决策、过程、产出</w:t>
      </w:r>
      <w:r>
        <w:rPr>
          <w:rFonts w:hint="eastAsia" w:ascii="Times New Roman" w:hAnsi="Times New Roman" w:eastAsia="宋体"/>
          <w:lang w:eastAsia="zh-CN"/>
        </w:rPr>
        <w:t>、</w:t>
      </w:r>
      <w:r>
        <w:rPr>
          <w:rFonts w:hint="eastAsia" w:ascii="Times New Roman" w:hAnsi="Times New Roman" w:eastAsia="宋体"/>
        </w:rPr>
        <w:t>效益</w:t>
      </w:r>
      <w:r>
        <w:rPr>
          <w:rFonts w:hint="eastAsia" w:ascii="Times New Roman" w:hAnsi="Times New Roman" w:eastAsia="宋体"/>
          <w:lang w:val="en-US" w:eastAsia="zh-CN"/>
        </w:rPr>
        <w:t>及满意度5</w:t>
      </w:r>
      <w:r>
        <w:rPr>
          <w:rFonts w:hint="eastAsia" w:ascii="Times New Roman" w:hAnsi="Times New Roman" w:eastAsia="宋体"/>
        </w:rPr>
        <w:t>个一级指标，1</w:t>
      </w:r>
      <w:r>
        <w:rPr>
          <w:rFonts w:hint="eastAsia"/>
          <w:lang w:val="en-US" w:eastAsia="zh-CN"/>
        </w:rPr>
        <w:t>2</w:t>
      </w:r>
      <w:r>
        <w:rPr>
          <w:rFonts w:hint="eastAsia" w:ascii="Times New Roman" w:hAnsi="Times New Roman" w:eastAsia="宋体"/>
        </w:rPr>
        <w:t>个二级指标、2</w:t>
      </w:r>
      <w:r>
        <w:rPr>
          <w:rFonts w:hint="eastAsia" w:ascii="Times New Roman" w:hAnsi="Times New Roman" w:eastAsia="宋体"/>
          <w:lang w:val="en-US" w:eastAsia="zh-CN"/>
        </w:rPr>
        <w:t>5</w:t>
      </w:r>
      <w:r>
        <w:rPr>
          <w:rFonts w:hint="eastAsia" w:ascii="Times New Roman" w:hAnsi="Times New Roman" w:eastAsia="宋体"/>
        </w:rPr>
        <w:t>个三级指标。绩效评价指标体系详见附件。</w:t>
      </w:r>
    </w:p>
    <w:p>
      <w:pPr>
        <w:bidi w:val="0"/>
        <w:rPr>
          <w:rFonts w:hint="eastAsia" w:ascii="Times New Roman" w:hAnsi="Times New Roman" w:eastAsia="宋体"/>
        </w:rPr>
      </w:pPr>
      <w:r>
        <w:rPr>
          <w:rFonts w:hint="eastAsia" w:ascii="Times New Roman" w:hAnsi="Times New Roman" w:eastAsia="宋体"/>
        </w:rPr>
        <w:t>①决策：占权重</w:t>
      </w:r>
      <w:r>
        <w:rPr>
          <w:rFonts w:hint="eastAsia" w:ascii="Times New Roman" w:hAnsi="Times New Roman" w:eastAsia="宋体"/>
          <w:lang w:val="en-US" w:eastAsia="zh-CN"/>
        </w:rPr>
        <w:t>20</w:t>
      </w:r>
      <w:r>
        <w:rPr>
          <w:rFonts w:hint="eastAsia" w:ascii="Times New Roman" w:hAnsi="Times New Roman" w:eastAsia="宋体"/>
        </w:rPr>
        <w:t>分。用于考核项目立项、绩效目标及资金投入三个方面。</w:t>
      </w:r>
    </w:p>
    <w:p>
      <w:pPr>
        <w:bidi w:val="0"/>
        <w:rPr>
          <w:rFonts w:hint="eastAsia" w:ascii="Times New Roman" w:hAnsi="Times New Roman" w:eastAsia="宋体"/>
        </w:rPr>
      </w:pPr>
      <w:r>
        <w:rPr>
          <w:rFonts w:hint="eastAsia" w:ascii="Times New Roman" w:hAnsi="Times New Roman" w:eastAsia="宋体"/>
        </w:rPr>
        <w:t>②过程：占权重</w:t>
      </w:r>
      <w:r>
        <w:rPr>
          <w:rFonts w:hint="eastAsia" w:ascii="Times New Roman" w:hAnsi="Times New Roman" w:eastAsia="宋体"/>
          <w:lang w:val="en-US" w:eastAsia="zh-CN"/>
        </w:rPr>
        <w:t>15</w:t>
      </w:r>
      <w:r>
        <w:rPr>
          <w:rFonts w:hint="eastAsia" w:ascii="Times New Roman" w:hAnsi="Times New Roman" w:eastAsia="宋体"/>
        </w:rPr>
        <w:t>分，用于考核资金管理及组织实施两个方面。</w:t>
      </w:r>
    </w:p>
    <w:p>
      <w:pPr>
        <w:bidi w:val="0"/>
        <w:rPr>
          <w:rFonts w:hint="eastAsia" w:ascii="Times New Roman" w:hAnsi="Times New Roman" w:eastAsia="宋体"/>
        </w:rPr>
      </w:pPr>
      <w:r>
        <w:rPr>
          <w:rFonts w:hint="eastAsia" w:ascii="Times New Roman" w:hAnsi="Times New Roman" w:eastAsia="宋体"/>
        </w:rPr>
        <w:t>③产出：占权重</w:t>
      </w:r>
      <w:r>
        <w:rPr>
          <w:rFonts w:hint="eastAsia" w:ascii="Times New Roman" w:hAnsi="Times New Roman" w:eastAsia="宋体"/>
          <w:lang w:val="en-US" w:eastAsia="zh-CN"/>
        </w:rPr>
        <w:t>35</w:t>
      </w:r>
      <w:r>
        <w:rPr>
          <w:rFonts w:hint="eastAsia" w:ascii="Times New Roman" w:hAnsi="Times New Roman" w:eastAsia="宋体"/>
        </w:rPr>
        <w:t xml:space="preserve">分，用于考核产出数量、产出质量、产出时效及产出成本四个方面。 </w:t>
      </w:r>
    </w:p>
    <w:p>
      <w:pPr>
        <w:bidi w:val="0"/>
        <w:rPr>
          <w:rFonts w:hint="eastAsia" w:ascii="Times New Roman" w:hAnsi="Times New Roman" w:eastAsia="宋体"/>
          <w:lang w:eastAsia="zh-CN"/>
        </w:rPr>
      </w:pPr>
      <w:r>
        <w:rPr>
          <w:rFonts w:hint="eastAsia" w:ascii="Times New Roman" w:hAnsi="Times New Roman" w:eastAsia="宋体"/>
        </w:rPr>
        <w:t>④效益：占权重</w:t>
      </w:r>
      <w:r>
        <w:rPr>
          <w:rFonts w:hint="eastAsia" w:ascii="Times New Roman" w:hAnsi="Times New Roman" w:eastAsia="宋体"/>
          <w:lang w:val="en-US" w:eastAsia="zh-CN"/>
        </w:rPr>
        <w:t>25</w:t>
      </w:r>
      <w:r>
        <w:rPr>
          <w:rFonts w:hint="eastAsia" w:ascii="Times New Roman" w:hAnsi="Times New Roman" w:eastAsia="宋体"/>
        </w:rPr>
        <w:t>分，用于考核社会效益、可持续影响</w:t>
      </w:r>
      <w:r>
        <w:rPr>
          <w:rFonts w:hint="eastAsia" w:ascii="Times New Roman" w:hAnsi="Times New Roman" w:eastAsia="宋体"/>
          <w:lang w:val="en-US" w:eastAsia="zh-CN"/>
        </w:rPr>
        <w:t>两</w:t>
      </w:r>
      <w:r>
        <w:rPr>
          <w:rFonts w:hint="eastAsia" w:ascii="Times New Roman" w:hAnsi="Times New Roman" w:eastAsia="宋体"/>
        </w:rPr>
        <w:t>个方面</w:t>
      </w:r>
      <w:r>
        <w:rPr>
          <w:rFonts w:hint="eastAsia" w:ascii="Times New Roman" w:hAnsi="Times New Roman" w:eastAsia="宋体"/>
          <w:lang w:eastAsia="zh-CN"/>
        </w:rPr>
        <w:t>。</w:t>
      </w:r>
    </w:p>
    <w:p>
      <w:pPr>
        <w:bidi w:val="0"/>
        <w:rPr>
          <w:rFonts w:hint="default" w:ascii="Times New Roman" w:hAnsi="Times New Roman" w:eastAsia="宋体"/>
          <w:lang w:val="en-US" w:eastAsia="zh-CN"/>
        </w:rPr>
      </w:pPr>
      <w:r>
        <w:rPr>
          <w:rFonts w:hint="eastAsia" w:ascii="Times New Roman" w:hAnsi="Times New Roman" w:eastAsia="宋体"/>
          <w:lang w:val="en-US" w:eastAsia="zh-CN"/>
        </w:rPr>
        <w:t>⑤满意度：占权重5分，用以考核社会公众对项目实施的满意度。</w:t>
      </w:r>
    </w:p>
    <w:p>
      <w:pPr>
        <w:pStyle w:val="4"/>
        <w:ind w:left="560" w:leftChars="200" w:firstLine="0" w:firstLineChars="0"/>
      </w:pPr>
      <w:bookmarkStart w:id="30" w:name="_Toc18181"/>
      <w:bookmarkStart w:id="31" w:name="_Toc3671"/>
      <w:r>
        <w:rPr>
          <w:rFonts w:hint="eastAsia"/>
        </w:rPr>
        <w:t>3、评价方法</w:t>
      </w:r>
      <w:bookmarkEnd w:id="30"/>
      <w:bookmarkEnd w:id="31"/>
    </w:p>
    <w:p>
      <w:pPr>
        <w:ind w:firstLine="560"/>
      </w:pPr>
      <w:r>
        <w:rPr>
          <w:rFonts w:hint="eastAsia"/>
        </w:rPr>
        <w:t>主要采用了文件核查、深度访谈、财务核查、实地调研及问卷调查等方法，以掌握项目详细情况，并对采集的数据作详细的分析和统计。文件核查主要用以核实项目立项的规范性以及项目运行的各项要求，从而确定评价的标准和范围；深度访谈则是对项目实施负责人进行，用以从整体上把握项目的基本情况；财务核查则是通过专业财务人员通过查看项目相关财务凭证，掌握</w:t>
      </w:r>
      <w:r>
        <w:rPr>
          <w:rFonts w:hint="eastAsia"/>
          <w:lang w:eastAsia="zh-CN"/>
        </w:rPr>
        <w:t>食安城建设项目</w:t>
      </w:r>
      <w:r>
        <w:rPr>
          <w:rFonts w:hint="eastAsia"/>
        </w:rPr>
        <w:t>资金的使用情况；实地调研则是通过研究员调查实地情况，了解掌握</w:t>
      </w:r>
      <w:r>
        <w:rPr>
          <w:rFonts w:hint="eastAsia"/>
          <w:lang w:eastAsia="zh-CN"/>
        </w:rPr>
        <w:t>食安城建设项目</w:t>
      </w:r>
      <w:r>
        <w:rPr>
          <w:rFonts w:hint="eastAsia"/>
        </w:rPr>
        <w:t>的产出和效果；问卷调查则是对</w:t>
      </w:r>
      <w:r>
        <w:rPr>
          <w:rFonts w:hint="eastAsia"/>
          <w:lang w:eastAsia="zh-CN"/>
        </w:rPr>
        <w:t>食安城建设项目</w:t>
      </w:r>
      <w:r>
        <w:rPr>
          <w:rFonts w:hint="eastAsia"/>
        </w:rPr>
        <w:t>的相关受益群体进行，了解其对</w:t>
      </w:r>
      <w:r>
        <w:rPr>
          <w:rFonts w:hint="eastAsia"/>
          <w:lang w:eastAsia="zh-CN"/>
        </w:rPr>
        <w:t>食安城建设项目</w:t>
      </w:r>
      <w:r>
        <w:rPr>
          <w:rFonts w:hint="eastAsia"/>
        </w:rPr>
        <w:t>实施的真实看法及满意状况。</w:t>
      </w:r>
    </w:p>
    <w:p>
      <w:pPr>
        <w:pStyle w:val="4"/>
        <w:ind w:left="560" w:leftChars="200" w:firstLine="0" w:firstLineChars="0"/>
      </w:pPr>
      <w:bookmarkStart w:id="32" w:name="_Toc10108"/>
      <w:bookmarkStart w:id="33" w:name="_Toc19721"/>
      <w:r>
        <w:rPr>
          <w:rFonts w:hint="eastAsia"/>
        </w:rPr>
        <w:t>4、评价标准</w:t>
      </w:r>
      <w:bookmarkEnd w:id="32"/>
      <w:bookmarkEnd w:id="33"/>
    </w:p>
    <w:p>
      <w:pPr>
        <w:ind w:firstLine="560"/>
      </w:pPr>
      <w:r>
        <w:t>绩效评价标准是指衡量财政支出绩效目标完成程度的尺度。对于评价指标而言，需要通过评价标准来</w:t>
      </w:r>
      <w:r>
        <w:rPr>
          <w:rFonts w:hint="eastAsia"/>
        </w:rPr>
        <w:t>判别</w:t>
      </w:r>
      <w:r>
        <w:t>评价指标的状况和优劣程度。是评价工作的基本准绳和标尺，是最后进行评价计分的依据，它决定了评价目标能否实现以及评价结果是否公平准确。绩效指标评价标准</w:t>
      </w:r>
      <w:r>
        <w:rPr>
          <w:rFonts w:hint="eastAsia"/>
        </w:rPr>
        <w:t>主要有：</w:t>
      </w:r>
    </w:p>
    <w:p>
      <w:pPr>
        <w:rPr>
          <w:b/>
          <w:bCs/>
        </w:rPr>
      </w:pPr>
      <w:r>
        <w:rPr>
          <w:rFonts w:hint="eastAsia"/>
          <w:b/>
          <w:bCs/>
        </w:rPr>
        <w:t>（1）</w:t>
      </w:r>
      <w:r>
        <w:rPr>
          <w:b/>
          <w:bCs/>
        </w:rPr>
        <w:t>计划标准</w:t>
      </w:r>
    </w:p>
    <w:p>
      <w:pPr>
        <w:ind w:firstLine="560"/>
      </w:pPr>
      <w:r>
        <w:t>以</w:t>
      </w:r>
      <w:r>
        <w:rPr>
          <w:rFonts w:hint="eastAsia"/>
        </w:rPr>
        <w:t>预先</w:t>
      </w:r>
      <w:r>
        <w:t>制定的计划、</w:t>
      </w:r>
      <w:r>
        <w:rPr>
          <w:rFonts w:hint="eastAsia"/>
        </w:rPr>
        <w:t>目标、</w:t>
      </w:r>
      <w:r>
        <w:t>预算</w:t>
      </w:r>
      <w:r>
        <w:rPr>
          <w:rFonts w:hint="eastAsia"/>
        </w:rPr>
        <w:t>或</w:t>
      </w:r>
      <w:r>
        <w:t>定额等数据作为绩效</w:t>
      </w:r>
      <w:r>
        <w:rPr>
          <w:rFonts w:hint="eastAsia"/>
        </w:rPr>
        <w:t>评价</w:t>
      </w:r>
      <w:r>
        <w:t>标准。</w:t>
      </w:r>
      <w:r>
        <w:rPr>
          <w:rFonts w:hint="eastAsia"/>
        </w:rPr>
        <w:t>计划值作为评价的指标旨在通过将实际完成值与预定值对比，找出两者的差异，从而达到评价目的。但由于容易受主观因素影响，计划标准的制定要求较高。</w:t>
      </w:r>
    </w:p>
    <w:p>
      <w:pPr>
        <w:rPr>
          <w:b/>
          <w:bCs/>
        </w:rPr>
      </w:pPr>
      <w:r>
        <w:rPr>
          <w:rFonts w:hint="eastAsia"/>
          <w:b/>
          <w:bCs/>
        </w:rPr>
        <w:t>（2）</w:t>
      </w:r>
      <w:r>
        <w:rPr>
          <w:b/>
          <w:bCs/>
        </w:rPr>
        <w:t>行业标准</w:t>
      </w:r>
    </w:p>
    <w:p>
      <w:pPr>
        <w:ind w:firstLine="560"/>
      </w:pPr>
      <w:r>
        <w:t>以</w:t>
      </w:r>
      <w:r>
        <w:rPr>
          <w:rFonts w:hint="eastAsia"/>
        </w:rPr>
        <w:t>某</w:t>
      </w:r>
      <w:r>
        <w:t>一</w:t>
      </w:r>
      <w:r>
        <w:rPr>
          <w:rFonts w:hint="eastAsia"/>
        </w:rPr>
        <w:t>具体</w:t>
      </w:r>
      <w:r>
        <w:t>行业许多</w:t>
      </w:r>
      <w:r>
        <w:rPr>
          <w:rFonts w:hint="eastAsia"/>
        </w:rPr>
        <w:t>个</w:t>
      </w:r>
      <w:r>
        <w:t>体</w:t>
      </w:r>
      <w:r>
        <w:rPr>
          <w:rFonts w:hint="eastAsia"/>
        </w:rPr>
        <w:t>或某项财政经费</w:t>
      </w:r>
      <w:r>
        <w:t>的相关指标数据为样本，运用数理统计方法</w:t>
      </w:r>
      <w:r>
        <w:rPr>
          <w:rFonts w:hint="eastAsia"/>
        </w:rPr>
        <w:t>，</w:t>
      </w:r>
      <w:r>
        <w:t>计算和制定的该行业评价标准。</w:t>
      </w:r>
      <w:r>
        <w:rPr>
          <w:rFonts w:hint="eastAsia"/>
        </w:rPr>
        <w:t>行业标准可方便财政部门对各类支出的绩效情况进行纵向的或横向的比较分析；行业标准具有易取得性、权威性和客观性，广为评价工作者使用，然而行业标准的充分应用需要强大的</w:t>
      </w:r>
      <w:r>
        <w:t>数据</w:t>
      </w:r>
      <w:r>
        <w:rPr>
          <w:rFonts w:hint="eastAsia"/>
        </w:rPr>
        <w:t>资料库做支撑</w:t>
      </w:r>
      <w:r>
        <w:t>。</w:t>
      </w:r>
    </w:p>
    <w:p>
      <w:pPr>
        <w:rPr>
          <w:b/>
          <w:bCs/>
        </w:rPr>
      </w:pPr>
      <w:r>
        <w:rPr>
          <w:rFonts w:hint="eastAsia"/>
          <w:b/>
          <w:bCs/>
        </w:rPr>
        <w:t>（3）</w:t>
      </w:r>
      <w:r>
        <w:rPr>
          <w:b/>
          <w:bCs/>
        </w:rPr>
        <w:t>历史标准</w:t>
      </w:r>
    </w:p>
    <w:p>
      <w:pPr>
        <w:ind w:firstLine="560"/>
      </w:pPr>
      <w:r>
        <w:t>以绩效评价指标的历史数据作为样本，运用一定的统计学方法</w:t>
      </w:r>
      <w:r>
        <w:rPr>
          <w:rFonts w:hint="eastAsia"/>
        </w:rPr>
        <w:t>，</w:t>
      </w:r>
      <w:r>
        <w:t>计算出各类指标的平均历史水平。</w:t>
      </w:r>
      <w:r>
        <w:rPr>
          <w:rFonts w:hint="eastAsia"/>
        </w:rPr>
        <w:t xml:space="preserve">在运用历史标准进行评价时，要对其根据价格指数、统计口径或核算方法的变化对历史标准进行修订和完善。 </w:t>
      </w:r>
    </w:p>
    <w:p>
      <w:pPr>
        <w:rPr>
          <w:b/>
          <w:bCs/>
        </w:rPr>
      </w:pPr>
      <w:r>
        <w:rPr>
          <w:rFonts w:hint="eastAsia"/>
          <w:b/>
          <w:bCs/>
        </w:rPr>
        <w:t>（4）</w:t>
      </w:r>
      <w:r>
        <w:rPr>
          <w:b/>
          <w:bCs/>
        </w:rPr>
        <w:t>经验标准</w:t>
      </w:r>
    </w:p>
    <w:p>
      <w:pPr>
        <w:ind w:firstLine="560"/>
        <w:rPr>
          <w:rFonts w:hint="eastAsia"/>
        </w:rPr>
      </w:pPr>
      <w:r>
        <w:t>根据长期的财政经济活动管理实践，由在</w:t>
      </w:r>
      <w:r>
        <w:rPr>
          <w:rFonts w:hint="eastAsia"/>
        </w:rPr>
        <w:t>该</w:t>
      </w:r>
      <w:r>
        <w:t>领域</w:t>
      </w:r>
      <w:r>
        <w:rPr>
          <w:rFonts w:hint="eastAsia"/>
        </w:rPr>
        <w:t>中具</w:t>
      </w:r>
      <w:r>
        <w:t>有丰富经验的专家学者，在经过严密分析</w:t>
      </w:r>
      <w:r>
        <w:rPr>
          <w:rFonts w:hint="eastAsia"/>
        </w:rPr>
        <w:t>与</w:t>
      </w:r>
      <w:r>
        <w:t>研究</w:t>
      </w:r>
      <w:r>
        <w:rPr>
          <w:rFonts w:hint="eastAsia"/>
        </w:rPr>
        <w:t>，</w:t>
      </w:r>
      <w:r>
        <w:t>得</w:t>
      </w:r>
      <w:r>
        <w:rPr>
          <w:rFonts w:hint="eastAsia"/>
        </w:rPr>
        <w:t>到</w:t>
      </w:r>
      <w:r>
        <w:t>的有关指标标准。</w:t>
      </w:r>
      <w:r>
        <w:rPr>
          <w:rFonts w:hint="eastAsia"/>
        </w:rPr>
        <w:t>该标准适用于缺乏同行业标准比较时用。即便行业标准与经验标准两者都可得到并使用，如果前者不如后者有权威性时，为保证评价结果的认可度，也应当选择经验标准，而不是选择行业标准。</w:t>
      </w:r>
    </w:p>
    <w:p>
      <w:pPr>
        <w:keepNext/>
        <w:keepLines/>
        <w:widowControl w:val="0"/>
        <w:bidi w:val="0"/>
        <w:spacing w:before="120" w:after="120" w:line="360" w:lineRule="auto"/>
        <w:ind w:firstLine="562" w:firstLineChars="200"/>
        <w:jc w:val="left"/>
        <w:outlineLvl w:val="2"/>
        <w:rPr>
          <w:rFonts w:hint="eastAsia" w:ascii="Times New Roman" w:hAnsi="Times New Roman" w:eastAsia="宋体" w:cs="Times New Roman"/>
          <w:b/>
          <w:bCs/>
          <w:kern w:val="2"/>
          <w:sz w:val="28"/>
          <w:szCs w:val="32"/>
          <w:lang w:val="en-US" w:eastAsia="zh-CN" w:bidi="ar-SA"/>
        </w:rPr>
      </w:pPr>
      <w:r>
        <w:rPr>
          <w:rFonts w:hint="eastAsia" w:ascii="Times New Roman" w:hAnsi="Times New Roman" w:eastAsia="宋体" w:cs="Times New Roman"/>
          <w:b/>
          <w:bCs/>
          <w:kern w:val="2"/>
          <w:sz w:val="28"/>
          <w:szCs w:val="32"/>
          <w:lang w:val="en-US" w:eastAsia="zh-CN" w:bidi="ar-SA"/>
        </w:rPr>
        <w:t>5、评价依据</w:t>
      </w:r>
    </w:p>
    <w:p>
      <w:pPr>
        <w:rPr>
          <w:rFonts w:hint="default" w:ascii="Times New Roman" w:hAnsi="Times New Roman" w:eastAsia="宋体"/>
          <w:lang w:val="en-US" w:eastAsia="zh-CN"/>
        </w:rPr>
      </w:pPr>
      <w:r>
        <w:rPr>
          <w:rFonts w:hint="default" w:ascii="Times New Roman" w:hAnsi="Times New Roman" w:eastAsia="宋体"/>
          <w:lang w:val="en-US" w:eastAsia="zh-CN"/>
        </w:rPr>
        <w:t>（1）《中共中央 国务院关于全面实施预算绩效管理的意见》（中发〔2018〕34 号）；</w:t>
      </w:r>
    </w:p>
    <w:p>
      <w:pPr>
        <w:bidi w:val="0"/>
        <w:rPr>
          <w:rFonts w:hint="default" w:ascii="Times New Roman" w:hAnsi="Times New Roman" w:eastAsia="宋体"/>
          <w:lang w:val="en-US" w:eastAsia="zh-CN"/>
        </w:rPr>
      </w:pPr>
      <w:r>
        <w:rPr>
          <w:rFonts w:hint="default" w:ascii="Times New Roman" w:hAnsi="Times New Roman" w:eastAsia="宋体"/>
          <w:lang w:val="en-US" w:eastAsia="zh-CN"/>
        </w:rPr>
        <w:t>（2）《中共江西省委 江西省人民政府关于全面实施预算绩效管理的实施意见》（赣发〔2019〕8 号）；</w:t>
      </w:r>
    </w:p>
    <w:p>
      <w:pPr>
        <w:rPr>
          <w:rFonts w:hint="default" w:ascii="Times New Roman" w:hAnsi="Times New Roman" w:eastAsia="宋体"/>
          <w:lang w:val="en-US" w:eastAsia="zh-CN"/>
        </w:rPr>
      </w:pPr>
      <w:r>
        <w:rPr>
          <w:rFonts w:hint="default" w:ascii="Times New Roman" w:hAnsi="Times New Roman" w:eastAsia="宋体"/>
          <w:lang w:val="en-US" w:eastAsia="zh-CN"/>
        </w:rPr>
        <w:t>（3）《中共南昌市委 南昌市人民政府关于全面实施预算绩效管理的实施意见》（洪发〔2019〕13 号）；</w:t>
      </w:r>
    </w:p>
    <w:p>
      <w:pPr>
        <w:rPr>
          <w:rFonts w:hint="default" w:ascii="Times New Roman" w:hAnsi="Times New Roman" w:eastAsia="宋体"/>
          <w:lang w:val="en-US" w:eastAsia="zh-CN"/>
        </w:rPr>
      </w:pPr>
      <w:r>
        <w:rPr>
          <w:rFonts w:hint="default" w:ascii="Times New Roman" w:hAnsi="Times New Roman" w:eastAsia="宋体"/>
          <w:lang w:val="en-US" w:eastAsia="zh-CN"/>
        </w:rPr>
        <w:t>（4）《财政部关于印发&lt;项目支出绩效评价管理办法&gt;的通知》（财预〔2020〕10 号）；</w:t>
      </w:r>
    </w:p>
    <w:p>
      <w:pPr>
        <w:rPr>
          <w:rFonts w:hint="eastAsia"/>
          <w:lang w:val="en-US" w:eastAsia="zh-CN"/>
        </w:rPr>
      </w:pPr>
      <w:r>
        <w:rPr>
          <w:rFonts w:hint="eastAsia"/>
          <w:lang w:val="en-US" w:eastAsia="zh-CN"/>
        </w:rPr>
        <w:t>（5）</w:t>
      </w:r>
      <w:r>
        <w:rPr>
          <w:rFonts w:hint="default" w:ascii="Times New Roman" w:hAnsi="Times New Roman" w:eastAsia="宋体"/>
          <w:lang w:val="en-US" w:eastAsia="zh-CN"/>
        </w:rPr>
        <w:t>《南昌市财政局关于开展2021年度预算绩效管理有关工作的通知》（洪财办[2021]7号）</w:t>
      </w:r>
      <w:r>
        <w:rPr>
          <w:rFonts w:hint="eastAsia"/>
          <w:lang w:val="en-US" w:eastAsia="zh-CN"/>
        </w:rPr>
        <w:t>；</w:t>
      </w:r>
    </w:p>
    <w:p>
      <w:pPr>
        <w:rPr>
          <w:rFonts w:hint="default" w:ascii="Times New Roman" w:hAnsi="Times New Roman" w:eastAsia="宋体"/>
          <w:lang w:val="en-US" w:eastAsia="zh-CN"/>
        </w:rPr>
      </w:pPr>
      <w:r>
        <w:rPr>
          <w:rFonts w:hint="eastAsia"/>
          <w:lang w:val="en-US" w:eastAsia="zh-CN"/>
        </w:rPr>
        <w:t>（6）</w:t>
      </w:r>
      <w:r>
        <w:rPr>
          <w:rFonts w:hint="default" w:ascii="Times New Roman" w:hAnsi="Times New Roman" w:eastAsia="宋体"/>
          <w:lang w:val="en-US" w:eastAsia="zh-CN"/>
        </w:rPr>
        <w:t>《东湖区财政局关于开展2021年度预算绩效管理有关工作的通知》（东财字[2021]14号）</w:t>
      </w:r>
      <w:r>
        <w:rPr>
          <w:rFonts w:hint="eastAsia"/>
          <w:lang w:val="en-US" w:eastAsia="zh-CN"/>
        </w:rPr>
        <w:t>；</w:t>
      </w:r>
    </w:p>
    <w:p>
      <w:pPr>
        <w:ind w:firstLine="560"/>
        <w:rPr>
          <w:rFonts w:hint="eastAsia"/>
          <w:lang w:val="en-US" w:eastAsia="zh-CN"/>
        </w:rPr>
      </w:pPr>
      <w:r>
        <w:rPr>
          <w:rFonts w:hint="eastAsia"/>
          <w:lang w:val="en-US" w:eastAsia="zh-CN"/>
        </w:rPr>
        <w:t>（7）《中共中央、国务院关于深化改革加强食品安全工作的意见》；</w:t>
      </w:r>
    </w:p>
    <w:p>
      <w:pPr>
        <w:ind w:firstLine="560"/>
        <w:rPr>
          <w:rFonts w:hint="eastAsia"/>
          <w:lang w:val="en-US" w:eastAsia="zh-CN"/>
        </w:rPr>
      </w:pPr>
      <w:r>
        <w:rPr>
          <w:rFonts w:hint="eastAsia"/>
          <w:lang w:val="en-US" w:eastAsia="zh-CN"/>
        </w:rPr>
        <w:t>（8）《中共江西省委江西省人民政府关于深化全省食品安全改革发展推进食品安全治理体系和治理能力现代化的实施意见》（赣发〔2019〕30号）；</w:t>
      </w:r>
    </w:p>
    <w:p>
      <w:pPr>
        <w:ind w:firstLine="560"/>
        <w:rPr>
          <w:rFonts w:hint="eastAsia"/>
          <w:lang w:val="en-US" w:eastAsia="zh-CN"/>
        </w:rPr>
      </w:pPr>
      <w:r>
        <w:rPr>
          <w:rFonts w:hint="eastAsia"/>
          <w:lang w:val="en-US" w:eastAsia="zh-CN"/>
        </w:rPr>
        <w:t>（9）《关于印发&lt;东湖区食品安全示范城市创建和食品安全办规范化建设督查方案&gt;的通知（东食安办字〔2020〕8号）；</w:t>
      </w:r>
    </w:p>
    <w:p>
      <w:pPr>
        <w:ind w:firstLine="560"/>
        <w:rPr>
          <w:rFonts w:hint="default"/>
          <w:lang w:val="en-US" w:eastAsia="zh-CN"/>
        </w:rPr>
      </w:pPr>
      <w:r>
        <w:rPr>
          <w:rFonts w:hint="eastAsia"/>
          <w:lang w:val="en-US" w:eastAsia="zh-CN"/>
        </w:rPr>
        <w:t>（10）《2020年度东湖区创建国家食品安全示范城市工作实施方案》；</w:t>
      </w:r>
    </w:p>
    <w:p>
      <w:pPr>
        <w:ind w:firstLine="560"/>
        <w:rPr>
          <w:rFonts w:hint="eastAsia"/>
          <w:lang w:val="en-US" w:eastAsia="zh-CN"/>
        </w:rPr>
      </w:pPr>
      <w:r>
        <w:rPr>
          <w:rFonts w:hint="eastAsia"/>
          <w:lang w:val="en-US" w:eastAsia="zh-CN"/>
        </w:rPr>
        <w:t>（11）《创建国家食品安全示范城市和全国文明城市项目预算绩效目标申报表》</w:t>
      </w:r>
    </w:p>
    <w:p>
      <w:pPr>
        <w:ind w:firstLine="560"/>
        <w:rPr>
          <w:rFonts w:hint="eastAsia"/>
          <w:lang w:val="en-US" w:eastAsia="zh-CN"/>
        </w:rPr>
      </w:pPr>
      <w:r>
        <w:rPr>
          <w:rFonts w:hint="eastAsia"/>
          <w:lang w:val="en-US" w:eastAsia="zh-CN"/>
        </w:rPr>
        <w:t>（12）《关于下达二〇二〇年度预算支出指标的通知》（东财字[2020]22号）；</w:t>
      </w:r>
    </w:p>
    <w:p>
      <w:pPr>
        <w:ind w:firstLine="560"/>
        <w:rPr>
          <w:rFonts w:hint="default"/>
          <w:lang w:val="en-US" w:eastAsia="zh-CN"/>
        </w:rPr>
      </w:pPr>
      <w:r>
        <w:rPr>
          <w:rFonts w:hint="eastAsia"/>
          <w:lang w:val="en-US" w:eastAsia="zh-CN"/>
        </w:rPr>
        <w:t>（13）其他相关资料</w:t>
      </w:r>
    </w:p>
    <w:p>
      <w:pPr>
        <w:pStyle w:val="3"/>
        <w:numPr>
          <w:ilvl w:val="0"/>
          <w:numId w:val="1"/>
        </w:numPr>
        <w:spacing w:before="204" w:after="204"/>
      </w:pPr>
      <w:bookmarkStart w:id="34" w:name="_Toc17280"/>
      <w:bookmarkStart w:id="35" w:name="_Toc1231"/>
      <w:bookmarkStart w:id="36" w:name="_Toc21874"/>
      <w:r>
        <w:rPr>
          <w:rFonts w:hint="eastAsia"/>
        </w:rPr>
        <w:t>绩效评价工作过程</w:t>
      </w:r>
      <w:bookmarkEnd w:id="34"/>
      <w:bookmarkEnd w:id="35"/>
      <w:bookmarkEnd w:id="36"/>
    </w:p>
    <w:p>
      <w:pPr>
        <w:ind w:firstLine="560"/>
      </w:pPr>
      <w:r>
        <w:rPr>
          <w:rFonts w:hint="eastAsia"/>
        </w:rPr>
        <w:t>实施本次绩效评价，首先根据项目预先设立的绩效目标、项目管理办法、专项资金管理办法、项目实施方案等资料，选择合适的评价指标和标准，同时明确本次绩效评价的目的、方法、评价的原则、评价标准、时间安排等，形成绩效评价工作方案。提交部门审核，并根据审核意见进一步修改和完善绩效评价工作方案。然后运用科学的评价方法，对资金使用全过程及其支出的经济性、效率性和效益性进行客观公正的综合评价，以衡量预算绩效管理培训项目资金的使用绩效，同时分析其是否达到预期目标，并以书面形式分析绩效优劣的原因、造成的不良后果及影响，提出改进的意见和建议，最后撰写绩效评价报告。</w:t>
      </w:r>
    </w:p>
    <w:p>
      <w:pPr>
        <w:pStyle w:val="4"/>
      </w:pPr>
      <w:bookmarkStart w:id="37" w:name="_Toc15792"/>
      <w:bookmarkStart w:id="38" w:name="_Toc25510"/>
      <w:r>
        <w:rPr>
          <w:rFonts w:hint="eastAsia"/>
        </w:rPr>
        <w:t>1、绩效评价的业务流程</w:t>
      </w:r>
      <w:bookmarkEnd w:id="37"/>
      <w:bookmarkEnd w:id="38"/>
    </w:p>
    <w:p>
      <w:pPr>
        <w:rPr>
          <w:rFonts w:ascii="宋体" w:hAnsi="宋体" w:cs="宋体"/>
          <w:b/>
          <w:bCs/>
        </w:rPr>
      </w:pPr>
      <w:r>
        <w:rPr>
          <w:rFonts w:hint="eastAsia" w:ascii="宋体" w:hAnsi="宋体" w:cs="宋体"/>
          <w:b/>
          <w:bCs/>
        </w:rPr>
        <w:t>（1）评价前期准备</w:t>
      </w:r>
    </w:p>
    <w:p>
      <w:pPr>
        <w:ind w:firstLine="560"/>
      </w:pPr>
      <w:r>
        <w:rPr>
          <w:rFonts w:hint="eastAsia"/>
        </w:rPr>
        <w:t>了解评价对象情况：根据相关文件的解读，了解预算绩效管理培训项目情况，确定本次绩效评价类型、适用的原理框架、评价重点领域及涉及到的相关方。</w:t>
      </w:r>
    </w:p>
    <w:p>
      <w:pPr>
        <w:ind w:firstLine="560"/>
      </w:pPr>
      <w:r>
        <w:rPr>
          <w:rFonts w:hint="eastAsia"/>
        </w:rPr>
        <w:t>成立绩效评价团队：基于对项目的情况了解，选择合适人员组成绩效评价团队。并履行以下职责：</w:t>
      </w:r>
    </w:p>
    <w:p>
      <w:pPr>
        <w:ind w:firstLine="560"/>
      </w:pPr>
      <w:r>
        <w:rPr>
          <w:rFonts w:hint="eastAsia"/>
        </w:rPr>
        <w:t>①编写评价任务大纲；</w:t>
      </w:r>
    </w:p>
    <w:p>
      <w:pPr>
        <w:ind w:firstLine="560"/>
      </w:pPr>
      <w:r>
        <w:rPr>
          <w:rFonts w:hint="eastAsia"/>
        </w:rPr>
        <w:t>②指导并协助评价实施团队理解评价任务大纲内容；</w:t>
      </w:r>
    </w:p>
    <w:p>
      <w:pPr>
        <w:ind w:firstLine="560"/>
      </w:pPr>
      <w:r>
        <w:rPr>
          <w:rFonts w:hint="eastAsia"/>
        </w:rPr>
        <w:t>③为开展评价活动提供必要的支持，组织协调各项评价活动；</w:t>
      </w:r>
    </w:p>
    <w:p>
      <w:pPr>
        <w:ind w:firstLine="560"/>
      </w:pPr>
      <w:r>
        <w:rPr>
          <w:rFonts w:hint="eastAsia"/>
        </w:rPr>
        <w:t>④监督评价活动；</w:t>
      </w:r>
    </w:p>
    <w:p>
      <w:pPr>
        <w:ind w:firstLine="560"/>
      </w:pPr>
      <w:r>
        <w:rPr>
          <w:rFonts w:hint="eastAsia"/>
        </w:rPr>
        <w:t>⑤实施评价质量控制；</w:t>
      </w:r>
    </w:p>
    <w:p>
      <w:pPr>
        <w:ind w:firstLine="560"/>
      </w:pPr>
      <w:r>
        <w:rPr>
          <w:rFonts w:hint="eastAsia"/>
        </w:rPr>
        <w:t>⑥对评价活动中出现的问题做出及时回应；</w:t>
      </w:r>
    </w:p>
    <w:p>
      <w:pPr>
        <w:ind w:firstLine="560"/>
      </w:pPr>
      <w:r>
        <w:rPr>
          <w:rFonts w:hint="eastAsia"/>
        </w:rPr>
        <w:t>⑦负责组织专家，审查绩效评价报告初稿，并判断其是否符合要求，审定绩效评价报告。</w:t>
      </w:r>
    </w:p>
    <w:p>
      <w:pPr>
        <w:ind w:firstLine="560"/>
      </w:pPr>
      <w:r>
        <w:rPr>
          <w:rFonts w:hint="eastAsia"/>
        </w:rPr>
        <w:t>⑧实施各项绩效评价工作，完成任务大纲。</w:t>
      </w:r>
    </w:p>
    <w:p>
      <w:pPr>
        <w:rPr>
          <w:rFonts w:ascii="宋体" w:hAnsi="宋体" w:cs="宋体"/>
          <w:b/>
          <w:bCs/>
        </w:rPr>
      </w:pPr>
      <w:r>
        <w:rPr>
          <w:rFonts w:hint="eastAsia" w:ascii="宋体" w:hAnsi="宋体" w:cs="宋体"/>
          <w:b/>
          <w:bCs/>
        </w:rPr>
        <w:t>（2）绩效评价实施</w:t>
      </w:r>
    </w:p>
    <w:p>
      <w:pPr>
        <w:ind w:firstLine="560"/>
      </w:pPr>
      <w:r>
        <w:rPr>
          <w:rFonts w:hint="eastAsia"/>
        </w:rPr>
        <w:t>评价证据的收集</w:t>
      </w:r>
      <w:r>
        <w:rPr>
          <w:rFonts w:hint="eastAsia"/>
          <w:b/>
          <w:bCs/>
        </w:rPr>
        <w:t>：</w:t>
      </w:r>
      <w:r>
        <w:rPr>
          <w:rFonts w:hint="eastAsia"/>
        </w:rPr>
        <w:t>绩效评价工作的科学合理开展建立在坚实的证据基础之上。绩效评价组决定从项目资金入手，安排2名成员到项目实施单位进行财务核查，一方面对专项资金支出合法性、合理性和合规性进行客观、公正的核查，另一方面通过对资金进行梳理汇总分类，掌握项目组织实施的情况。重点关注资金支出产生和效益。</w:t>
      </w:r>
    </w:p>
    <w:p>
      <w:pPr>
        <w:ind w:firstLine="560"/>
      </w:pPr>
      <w:r>
        <w:rPr>
          <w:rFonts w:hint="eastAsia"/>
        </w:rPr>
        <w:t>同时，组织对项目负责人及组织实施参与者的深度访谈，以了解项目资金使用的整体情况，诸如覆盖人群、使用方式、组织形式、取得成果及存在问题等，为评价组调整工作重点提供信息支撑，也可对项目整体情况形成总体把握。</w:t>
      </w:r>
    </w:p>
    <w:p>
      <w:pPr>
        <w:ind w:firstLine="560"/>
      </w:pPr>
      <w:r>
        <w:rPr>
          <w:rFonts w:hint="eastAsia"/>
        </w:rPr>
        <w:t>然后，对项目组织实施资料进行核实，这一阶段主要是进行项目相关证据的收集，为后续分析及报告撰写做好铺垫。</w:t>
      </w:r>
    </w:p>
    <w:p>
      <w:pPr>
        <w:ind w:firstLine="560"/>
      </w:pPr>
      <w:r>
        <w:rPr>
          <w:rFonts w:hint="eastAsia"/>
        </w:rPr>
        <w:t>另外，对项目组织实施资料进行整理，了解项目实施受益群体范围，并进行问卷调查和组织座谈。</w:t>
      </w:r>
    </w:p>
    <w:p>
      <w:pPr>
        <w:ind w:firstLine="560"/>
      </w:pPr>
      <w:r>
        <w:rPr>
          <w:rFonts w:hint="eastAsia"/>
        </w:rPr>
        <w:t xml:space="preserve">评价证据审核：对收集到的评价证据，保持职业怀疑，通过核实基础数据的全面性、真实性以及统计口径的一致性等，增加评价证据的可置信程度。 </w:t>
      </w:r>
    </w:p>
    <w:p>
      <w:pPr>
        <w:ind w:firstLine="560"/>
      </w:pPr>
      <w:r>
        <w:rPr>
          <w:rFonts w:hint="eastAsia"/>
        </w:rPr>
        <w:t>绩效分析与评级：运用既定的分析方法，根据收集整理的证据和设定的评分标准进行分析，对各项评价指标进行评分。通过加权计算出最终的评价分值，并相应确定绩效等级。</w:t>
      </w:r>
    </w:p>
    <w:p>
      <w:pPr>
        <w:ind w:firstLine="560"/>
      </w:pPr>
      <w:r>
        <w:rPr>
          <w:rFonts w:hint="eastAsia"/>
        </w:rPr>
        <w:t>形成评价结论：评价结论按照既定要求在内外部组织讨论，从各评价维度对相关细节问题进行核实并权衡。评价结论说明了绩效目标的实现程度，应用项目绩效指标完成情况反映投入、产出与效果方面的成绩、经验与存在的问题，对评价指标目标值与实际值的差异情况、产生原因与预期后果等进行具体分析，对已实现的绩效目标总结相关经验与做法，对存在的问题分析影响项目绩效目标及资金预算使用的主要因素，并提出对应建设性意见以供被评价部门参考。</w:t>
      </w:r>
    </w:p>
    <w:p>
      <w:pPr>
        <w:pStyle w:val="4"/>
      </w:pPr>
      <w:bookmarkStart w:id="39" w:name="_Toc19972"/>
      <w:bookmarkStart w:id="40" w:name="_Toc26376"/>
      <w:r>
        <w:rPr>
          <w:rFonts w:hint="eastAsia"/>
        </w:rPr>
        <w:t>2、形成绩效评价报告</w:t>
      </w:r>
      <w:bookmarkEnd w:id="39"/>
      <w:bookmarkEnd w:id="40"/>
    </w:p>
    <w:p>
      <w:pPr>
        <w:rPr>
          <w:b/>
          <w:bCs/>
        </w:rPr>
      </w:pPr>
      <w:r>
        <w:rPr>
          <w:rFonts w:hint="eastAsia"/>
          <w:b/>
          <w:bCs/>
        </w:rPr>
        <w:t>（1）撰写绩效评价初稿</w:t>
      </w:r>
    </w:p>
    <w:p>
      <w:pPr>
        <w:ind w:firstLine="560"/>
      </w:pPr>
      <w:r>
        <w:t>评价组根据</w:t>
      </w:r>
      <w:r>
        <w:rPr>
          <w:rFonts w:hint="eastAsia"/>
        </w:rPr>
        <w:t>前述绩效分析和评价结论</w:t>
      </w:r>
      <w:r>
        <w:t>，</w:t>
      </w:r>
      <w:r>
        <w:rPr>
          <w:rFonts w:hint="eastAsia"/>
        </w:rPr>
        <w:t>按照要求</w:t>
      </w:r>
      <w:r>
        <w:t>提炼撰写</w:t>
      </w:r>
      <w:r>
        <w:rPr>
          <w:rFonts w:hint="eastAsia"/>
        </w:rPr>
        <w:t>绩效</w:t>
      </w:r>
      <w:r>
        <w:t>报告</w:t>
      </w:r>
      <w:r>
        <w:rPr>
          <w:rFonts w:hint="eastAsia"/>
        </w:rPr>
        <w:t>，并在项目组内部进行审核</w:t>
      </w:r>
      <w:r>
        <w:rPr>
          <w:rFonts w:hint="eastAsia"/>
          <w:lang w:eastAsia="zh-CN"/>
        </w:rPr>
        <w:t>，</w:t>
      </w:r>
      <w:r>
        <w:rPr>
          <w:rFonts w:hint="eastAsia"/>
        </w:rPr>
        <w:t>主要关注报告格式是否规范，内容是否完整；绩效数据是否真实、可靠，是否进行了必要的核实工作；报告逻辑是否清晰，分析问题是否透彻。</w:t>
      </w:r>
    </w:p>
    <w:p>
      <w:pPr>
        <w:rPr>
          <w:b/>
          <w:bCs/>
        </w:rPr>
      </w:pPr>
      <w:r>
        <w:rPr>
          <w:rFonts w:hint="eastAsia"/>
          <w:b/>
          <w:bCs/>
        </w:rPr>
        <w:t>（2）绩效评价报告复核</w:t>
      </w:r>
    </w:p>
    <w:p>
      <w:pPr>
        <w:ind w:firstLine="560"/>
      </w:pPr>
      <w:r>
        <w:rPr>
          <w:rFonts w:hint="eastAsia"/>
        </w:rPr>
        <w:t>质量复核组将对评价团队提交的评价报告初稿进行复核，主要关注报告结论是否全面、准确；经验、教训的总结是否深刻，建议是否可行等。</w:t>
      </w:r>
    </w:p>
    <w:p>
      <w:pPr>
        <w:rPr>
          <w:b/>
          <w:bCs/>
        </w:rPr>
      </w:pPr>
      <w:r>
        <w:rPr>
          <w:rFonts w:hint="eastAsia"/>
          <w:b/>
          <w:bCs/>
        </w:rPr>
        <w:t>（3）形成评价报告终稿</w:t>
      </w:r>
    </w:p>
    <w:p>
      <w:pPr>
        <w:ind w:firstLine="560"/>
      </w:pPr>
      <w:r>
        <w:rPr>
          <w:rFonts w:hint="eastAsia"/>
        </w:rPr>
        <w:t>根据质量复核组提出的意见和建议，修改并完善评价报告。</w:t>
      </w:r>
    </w:p>
    <w:p>
      <w:pPr>
        <w:pStyle w:val="2"/>
        <w:bidi w:val="0"/>
        <w:rPr>
          <w:rFonts w:hint="eastAsia"/>
        </w:rPr>
      </w:pPr>
      <w:bookmarkStart w:id="41" w:name="_Toc12774"/>
      <w:r>
        <w:rPr>
          <w:rFonts w:hint="eastAsia"/>
        </w:rPr>
        <w:t>三、综合评价情况及评价结论</w:t>
      </w:r>
      <w:bookmarkEnd w:id="41"/>
    </w:p>
    <w:p>
      <w:pPr>
        <w:rPr>
          <w:rFonts w:hint="eastAsia" w:ascii="Times New Roman" w:hAnsi="Times New Roman" w:eastAsia="宋体"/>
        </w:rPr>
      </w:pPr>
      <w:r>
        <w:rPr>
          <w:rFonts w:hint="eastAsia" w:ascii="Times New Roman" w:hAnsi="Times New Roman" w:eastAsia="宋体"/>
        </w:rPr>
        <w:t>该项目绩效评价结果采取评分和评级相结合的方式，总分设置为100分，等级划分为四档：</w:t>
      </w:r>
    </w:p>
    <w:p>
      <w:pPr>
        <w:rPr>
          <w:rFonts w:hint="eastAsia" w:ascii="Times New Roman" w:hAnsi="Times New Roman" w:eastAsia="宋体"/>
        </w:rPr>
      </w:pPr>
      <w:r>
        <w:rPr>
          <w:rFonts w:hint="eastAsia" w:ascii="Times New Roman" w:hAnsi="Times New Roman" w:eastAsia="宋体"/>
        </w:rPr>
        <w:t>综合得分在 90（含）-100 分为优；</w:t>
      </w:r>
    </w:p>
    <w:p>
      <w:pPr>
        <w:rPr>
          <w:rFonts w:hint="eastAsia" w:ascii="Times New Roman" w:hAnsi="Times New Roman" w:eastAsia="宋体"/>
        </w:rPr>
      </w:pPr>
      <w:r>
        <w:rPr>
          <w:rFonts w:hint="eastAsia" w:ascii="Times New Roman" w:hAnsi="Times New Roman" w:eastAsia="宋体"/>
        </w:rPr>
        <w:t>综合得分在 80（含）-90 分为良；</w:t>
      </w:r>
    </w:p>
    <w:p>
      <w:pPr>
        <w:rPr>
          <w:rFonts w:hint="eastAsia" w:ascii="Times New Roman" w:hAnsi="Times New Roman" w:eastAsia="宋体"/>
        </w:rPr>
      </w:pPr>
      <w:r>
        <w:rPr>
          <w:rFonts w:hint="eastAsia" w:ascii="Times New Roman" w:hAnsi="Times New Roman" w:eastAsia="宋体"/>
        </w:rPr>
        <w:t>综合得分在 60（含）-80 分为中；</w:t>
      </w:r>
    </w:p>
    <w:p>
      <w:pPr>
        <w:rPr>
          <w:rFonts w:hint="eastAsia" w:ascii="Times New Roman" w:hAnsi="Times New Roman" w:eastAsia="宋体"/>
        </w:rPr>
      </w:pPr>
      <w:r>
        <w:rPr>
          <w:rFonts w:hint="eastAsia" w:ascii="Times New Roman" w:hAnsi="Times New Roman" w:eastAsia="宋体"/>
        </w:rPr>
        <w:t>综合得分在 60 分以下为差。</w:t>
      </w:r>
    </w:p>
    <w:p>
      <w:pPr>
        <w:pStyle w:val="3"/>
        <w:bidi w:val="0"/>
        <w:rPr>
          <w:rFonts w:hint="default"/>
          <w:lang w:val="en-US" w:eastAsia="zh-CN"/>
        </w:rPr>
      </w:pPr>
      <w:bookmarkStart w:id="42" w:name="_Toc10124"/>
      <w:r>
        <w:rPr>
          <w:rFonts w:hint="eastAsia"/>
          <w:lang w:val="en-US" w:eastAsia="zh-CN"/>
        </w:rPr>
        <w:t>（一）综合评价情况</w:t>
      </w:r>
      <w:bookmarkEnd w:id="42"/>
    </w:p>
    <w:bookmarkEnd w:id="15"/>
    <w:p>
      <w:pPr>
        <w:bidi w:val="0"/>
      </w:pPr>
      <w:r>
        <w:t>评价组围绕绩效评价指标体系，通过数据采集分析，实地核查、深度访谈及问卷调查等方式，对该项目绩效进行了客观、公正、合理、有效的评价，最终评价结果为</w:t>
      </w:r>
      <w:r>
        <w:rPr>
          <w:rFonts w:hint="eastAsia"/>
          <w:lang w:val="en-US" w:eastAsia="zh-CN"/>
        </w:rPr>
        <w:t>88.7</w:t>
      </w:r>
      <w:r>
        <w:t>分，依据财政绩效评价等级划分，本项目绩效评价等级为</w:t>
      </w:r>
      <w:r>
        <w:rPr>
          <w:rFonts w:hint="eastAsia"/>
        </w:rPr>
        <w:t>“</w:t>
      </w:r>
      <w:r>
        <w:rPr>
          <w:rFonts w:hint="eastAsia"/>
          <w:lang w:val="en-US" w:eastAsia="zh-CN"/>
        </w:rPr>
        <w:t>良</w:t>
      </w:r>
      <w:r>
        <w:rPr>
          <w:rFonts w:hint="eastAsia"/>
        </w:rPr>
        <w:t>”</w:t>
      </w:r>
      <w:r>
        <w:t>。</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楷体" w:hAnsi="楷体" w:eastAsia="楷体" w:cs="楷体"/>
          <w:sz w:val="24"/>
          <w:szCs w:val="22"/>
          <w:lang w:val="en-US" w:eastAsia="zh-CN"/>
        </w:rPr>
      </w:pPr>
      <w:r>
        <w:rPr>
          <w:rFonts w:hint="eastAsia" w:ascii="楷体" w:hAnsi="楷体" w:eastAsia="楷体" w:cs="楷体"/>
          <w:sz w:val="24"/>
          <w:szCs w:val="22"/>
          <w:lang w:val="en-US" w:eastAsia="zh-CN"/>
        </w:rPr>
        <w:t>表2 食安城建设项目绩效评价得分一览表</w:t>
      </w:r>
    </w:p>
    <w:tbl>
      <w:tblPr>
        <w:tblStyle w:val="22"/>
        <w:tblW w:w="83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4"/>
        <w:gridCol w:w="2290"/>
        <w:gridCol w:w="1440"/>
        <w:gridCol w:w="1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2634" w:type="dxa"/>
            <w:tcBorders>
              <w:top w:val="single" w:color="auto" w:sz="4" w:space="0"/>
              <w:left w:val="single" w:color="auto" w:sz="4" w:space="0"/>
              <w:bottom w:val="single" w:color="auto" w:sz="4" w:space="0"/>
              <w:right w:val="single" w:color="auto" w:sz="4" w:space="0"/>
            </w:tcBorders>
            <w:shd w:val="clear" w:color="auto" w:fill="00B0F0"/>
            <w:vAlign w:val="center"/>
          </w:tcPr>
          <w:p>
            <w:pPr>
              <w:spacing w:line="36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一级指标</w:t>
            </w:r>
          </w:p>
        </w:tc>
        <w:tc>
          <w:tcPr>
            <w:tcW w:w="2290" w:type="dxa"/>
            <w:tcBorders>
              <w:top w:val="single" w:color="auto" w:sz="4" w:space="0"/>
              <w:left w:val="nil"/>
              <w:bottom w:val="single" w:color="auto" w:sz="4" w:space="0"/>
              <w:right w:val="single" w:color="auto" w:sz="4" w:space="0"/>
            </w:tcBorders>
            <w:shd w:val="clear" w:color="auto" w:fill="00B0F0"/>
            <w:vAlign w:val="center"/>
          </w:tcPr>
          <w:p>
            <w:pPr>
              <w:spacing w:line="36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二级指标</w:t>
            </w:r>
          </w:p>
        </w:tc>
        <w:tc>
          <w:tcPr>
            <w:tcW w:w="1440" w:type="dxa"/>
            <w:tcBorders>
              <w:top w:val="single" w:color="auto" w:sz="4" w:space="0"/>
              <w:left w:val="nil"/>
              <w:bottom w:val="single" w:color="auto" w:sz="4" w:space="0"/>
              <w:right w:val="single" w:color="auto" w:sz="4" w:space="0"/>
            </w:tcBorders>
            <w:shd w:val="clear" w:color="auto" w:fill="00B0F0"/>
            <w:vAlign w:val="center"/>
          </w:tcPr>
          <w:p>
            <w:pPr>
              <w:spacing w:line="36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权重</w:t>
            </w:r>
          </w:p>
        </w:tc>
        <w:tc>
          <w:tcPr>
            <w:tcW w:w="1982" w:type="dxa"/>
            <w:tcBorders>
              <w:top w:val="single" w:color="auto" w:sz="4" w:space="0"/>
              <w:left w:val="nil"/>
              <w:bottom w:val="single" w:color="auto" w:sz="4" w:space="0"/>
              <w:right w:val="single" w:color="auto" w:sz="4" w:space="0"/>
            </w:tcBorders>
            <w:shd w:val="clear" w:color="auto" w:fill="00B0F0"/>
            <w:vAlign w:val="center"/>
          </w:tcPr>
          <w:p>
            <w:pPr>
              <w:spacing w:line="36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2634" w:type="dxa"/>
            <w:vMerge w:val="restart"/>
            <w:tcBorders>
              <w:top w:val="nil"/>
              <w:left w:val="single" w:color="auto" w:sz="4" w:space="0"/>
              <w:right w:val="single" w:color="auto" w:sz="4" w:space="0"/>
            </w:tcBorders>
            <w:vAlign w:val="center"/>
          </w:tcPr>
          <w:p>
            <w:pPr>
              <w:spacing w:line="360" w:lineRule="auto"/>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决策指标</w:t>
            </w:r>
          </w:p>
        </w:tc>
        <w:tc>
          <w:tcPr>
            <w:tcW w:w="2290"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项目立项</w:t>
            </w:r>
          </w:p>
        </w:tc>
        <w:tc>
          <w:tcPr>
            <w:tcW w:w="1440"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eastAsia" w:ascii="宋体" w:hAnsi="宋体" w:eastAsia="宋体" w:cs="宋体"/>
                <w:kern w:val="2"/>
                <w:sz w:val="21"/>
                <w:szCs w:val="21"/>
                <w:lang w:val="en-US" w:eastAsia="zh-CN" w:bidi="ar-SA"/>
              </w:rPr>
            </w:pPr>
            <w:r>
              <w:rPr>
                <w:rFonts w:hint="eastAsia" w:ascii="宋体" w:hAnsi="宋体" w:cs="宋体"/>
                <w:sz w:val="21"/>
                <w:szCs w:val="21"/>
                <w:lang w:val="en-US" w:eastAsia="zh-CN"/>
              </w:rPr>
              <w:t>7</w:t>
            </w:r>
          </w:p>
        </w:tc>
        <w:tc>
          <w:tcPr>
            <w:tcW w:w="1982" w:type="dxa"/>
            <w:tcBorders>
              <w:top w:val="single" w:color="auto" w:sz="4" w:space="0"/>
              <w:left w:val="nil"/>
              <w:bottom w:val="single" w:color="auto" w:sz="4" w:space="0"/>
              <w:right w:val="single" w:color="auto" w:sz="4" w:space="0"/>
            </w:tcBorders>
            <w:vAlign w:val="center"/>
          </w:tcPr>
          <w:p>
            <w:pPr>
              <w:tabs>
                <w:tab w:val="left" w:pos="596"/>
              </w:tabs>
              <w:spacing w:line="360" w:lineRule="auto"/>
              <w:ind w:firstLine="0" w:firstLineChars="0"/>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2634" w:type="dxa"/>
            <w:vMerge w:val="continue"/>
            <w:tcBorders>
              <w:left w:val="single" w:color="auto" w:sz="4" w:space="0"/>
              <w:right w:val="single" w:color="auto" w:sz="4" w:space="0"/>
            </w:tcBorders>
            <w:vAlign w:val="center"/>
          </w:tcPr>
          <w:p>
            <w:pPr>
              <w:spacing w:line="360" w:lineRule="auto"/>
              <w:ind w:firstLine="0" w:firstLineChars="0"/>
              <w:jc w:val="center"/>
              <w:rPr>
                <w:rFonts w:hint="eastAsia" w:ascii="宋体" w:hAnsi="宋体" w:eastAsia="宋体" w:cs="宋体"/>
                <w:sz w:val="21"/>
                <w:szCs w:val="21"/>
              </w:rPr>
            </w:pPr>
          </w:p>
        </w:tc>
        <w:tc>
          <w:tcPr>
            <w:tcW w:w="2290"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绩效目标</w:t>
            </w:r>
          </w:p>
        </w:tc>
        <w:tc>
          <w:tcPr>
            <w:tcW w:w="1440"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eastAsia" w:ascii="宋体" w:hAnsi="宋体" w:eastAsia="宋体" w:cs="宋体"/>
                <w:kern w:val="2"/>
                <w:sz w:val="21"/>
                <w:szCs w:val="21"/>
                <w:lang w:val="en-US" w:eastAsia="zh-CN" w:bidi="ar-SA"/>
              </w:rPr>
            </w:pPr>
            <w:r>
              <w:rPr>
                <w:rFonts w:hint="eastAsia" w:ascii="宋体" w:hAnsi="宋体" w:cs="宋体"/>
                <w:sz w:val="21"/>
                <w:szCs w:val="21"/>
                <w:lang w:val="en-US" w:eastAsia="zh-CN"/>
              </w:rPr>
              <w:t>7</w:t>
            </w:r>
          </w:p>
        </w:tc>
        <w:tc>
          <w:tcPr>
            <w:tcW w:w="1982"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2634" w:type="dxa"/>
            <w:vMerge w:val="continue"/>
            <w:tcBorders>
              <w:left w:val="single" w:color="auto" w:sz="4" w:space="0"/>
              <w:bottom w:val="single" w:color="auto" w:sz="4" w:space="0"/>
              <w:right w:val="single" w:color="auto" w:sz="4" w:space="0"/>
            </w:tcBorders>
            <w:vAlign w:val="center"/>
          </w:tcPr>
          <w:p>
            <w:pPr>
              <w:spacing w:line="360" w:lineRule="auto"/>
              <w:ind w:firstLine="0" w:firstLineChars="0"/>
              <w:jc w:val="center"/>
              <w:rPr>
                <w:rFonts w:hint="eastAsia" w:ascii="宋体" w:hAnsi="宋体" w:eastAsia="宋体" w:cs="宋体"/>
                <w:sz w:val="21"/>
                <w:szCs w:val="21"/>
              </w:rPr>
            </w:pPr>
          </w:p>
        </w:tc>
        <w:tc>
          <w:tcPr>
            <w:tcW w:w="2290"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资金投入</w:t>
            </w:r>
          </w:p>
        </w:tc>
        <w:tc>
          <w:tcPr>
            <w:tcW w:w="1440"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default" w:ascii="宋体" w:hAnsi="宋体" w:eastAsia="宋体" w:cs="宋体"/>
                <w:kern w:val="2"/>
                <w:sz w:val="21"/>
                <w:szCs w:val="21"/>
                <w:lang w:val="en-US" w:eastAsia="zh-CN" w:bidi="ar-SA"/>
              </w:rPr>
            </w:pPr>
            <w:r>
              <w:rPr>
                <w:rFonts w:hint="eastAsia" w:ascii="宋体" w:hAnsi="宋体" w:cs="宋体"/>
                <w:sz w:val="21"/>
                <w:szCs w:val="21"/>
                <w:lang w:val="en-US" w:eastAsia="zh-CN"/>
              </w:rPr>
              <w:t>6</w:t>
            </w:r>
          </w:p>
        </w:tc>
        <w:tc>
          <w:tcPr>
            <w:tcW w:w="1982"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2634" w:type="dxa"/>
            <w:vMerge w:val="restart"/>
            <w:tcBorders>
              <w:top w:val="nil"/>
              <w:left w:val="single" w:color="auto" w:sz="4" w:space="0"/>
              <w:right w:val="single" w:color="auto" w:sz="4" w:space="0"/>
            </w:tcBorders>
            <w:vAlign w:val="center"/>
          </w:tcPr>
          <w:p>
            <w:pPr>
              <w:spacing w:line="360" w:lineRule="auto"/>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过程指标</w:t>
            </w:r>
          </w:p>
        </w:tc>
        <w:tc>
          <w:tcPr>
            <w:tcW w:w="2290"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资金管理</w:t>
            </w:r>
          </w:p>
        </w:tc>
        <w:tc>
          <w:tcPr>
            <w:tcW w:w="1440"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eastAsia" w:ascii="宋体" w:hAnsi="宋体" w:eastAsia="宋体" w:cs="宋体"/>
                <w:kern w:val="2"/>
                <w:sz w:val="21"/>
                <w:szCs w:val="21"/>
                <w:lang w:val="en-US" w:eastAsia="zh-CN" w:bidi="ar-SA"/>
              </w:rPr>
            </w:pPr>
            <w:r>
              <w:rPr>
                <w:rFonts w:hint="eastAsia" w:ascii="宋体" w:hAnsi="宋体" w:cs="宋体"/>
                <w:sz w:val="21"/>
                <w:szCs w:val="21"/>
                <w:lang w:val="en-US" w:eastAsia="zh-CN"/>
              </w:rPr>
              <w:t>9</w:t>
            </w:r>
          </w:p>
        </w:tc>
        <w:tc>
          <w:tcPr>
            <w:tcW w:w="1982"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2634" w:type="dxa"/>
            <w:vMerge w:val="continue"/>
            <w:tcBorders>
              <w:left w:val="single" w:color="auto" w:sz="4" w:space="0"/>
              <w:bottom w:val="single" w:color="auto" w:sz="4" w:space="0"/>
              <w:right w:val="single" w:color="auto" w:sz="4" w:space="0"/>
            </w:tcBorders>
            <w:vAlign w:val="center"/>
          </w:tcPr>
          <w:p>
            <w:pPr>
              <w:spacing w:line="360" w:lineRule="auto"/>
              <w:ind w:firstLine="0" w:firstLineChars="0"/>
              <w:jc w:val="center"/>
              <w:rPr>
                <w:rFonts w:hint="eastAsia" w:ascii="宋体" w:hAnsi="宋体" w:eastAsia="宋体" w:cs="宋体"/>
                <w:sz w:val="21"/>
                <w:szCs w:val="21"/>
              </w:rPr>
            </w:pPr>
          </w:p>
        </w:tc>
        <w:tc>
          <w:tcPr>
            <w:tcW w:w="2290"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组织实施</w:t>
            </w:r>
          </w:p>
        </w:tc>
        <w:tc>
          <w:tcPr>
            <w:tcW w:w="1440"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eastAsia" w:ascii="宋体" w:hAnsi="宋体" w:eastAsia="宋体" w:cs="宋体"/>
                <w:kern w:val="2"/>
                <w:sz w:val="21"/>
                <w:szCs w:val="21"/>
                <w:lang w:val="en-US" w:eastAsia="zh-CN" w:bidi="ar-SA"/>
              </w:rPr>
            </w:pPr>
            <w:r>
              <w:rPr>
                <w:rFonts w:hint="eastAsia" w:ascii="宋体" w:hAnsi="宋体" w:cs="宋体"/>
                <w:sz w:val="21"/>
                <w:szCs w:val="21"/>
                <w:lang w:val="en-US" w:eastAsia="zh-CN"/>
              </w:rPr>
              <w:t>6</w:t>
            </w:r>
          </w:p>
        </w:tc>
        <w:tc>
          <w:tcPr>
            <w:tcW w:w="1982"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2634" w:type="dxa"/>
            <w:vMerge w:val="restart"/>
            <w:tcBorders>
              <w:top w:val="nil"/>
              <w:left w:val="single" w:color="auto" w:sz="4" w:space="0"/>
              <w:right w:val="single" w:color="auto" w:sz="4" w:space="0"/>
            </w:tcBorders>
            <w:vAlign w:val="center"/>
          </w:tcPr>
          <w:p>
            <w:pPr>
              <w:spacing w:line="360" w:lineRule="auto"/>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产出</w:t>
            </w:r>
            <w:r>
              <w:rPr>
                <w:rFonts w:hint="eastAsia" w:ascii="宋体" w:hAnsi="宋体" w:eastAsia="宋体" w:cs="宋体"/>
                <w:sz w:val="21"/>
                <w:szCs w:val="21"/>
                <w:lang w:val="en-US" w:eastAsia="zh-CN"/>
              </w:rPr>
              <w:t>指标</w:t>
            </w:r>
          </w:p>
        </w:tc>
        <w:tc>
          <w:tcPr>
            <w:tcW w:w="2290"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产出数量</w:t>
            </w:r>
          </w:p>
        </w:tc>
        <w:tc>
          <w:tcPr>
            <w:tcW w:w="1440"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default" w:ascii="宋体" w:hAnsi="宋体" w:eastAsia="宋体" w:cs="宋体"/>
                <w:kern w:val="2"/>
                <w:sz w:val="21"/>
                <w:szCs w:val="21"/>
                <w:lang w:val="en-US" w:eastAsia="zh-CN" w:bidi="ar-SA"/>
              </w:rPr>
            </w:pPr>
            <w:r>
              <w:rPr>
                <w:rFonts w:hint="eastAsia" w:ascii="宋体" w:hAnsi="宋体" w:cs="宋体"/>
                <w:sz w:val="21"/>
                <w:szCs w:val="21"/>
                <w:lang w:val="en-US" w:eastAsia="zh-CN"/>
              </w:rPr>
              <w:t>15</w:t>
            </w:r>
          </w:p>
        </w:tc>
        <w:tc>
          <w:tcPr>
            <w:tcW w:w="1982"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2634" w:type="dxa"/>
            <w:vMerge w:val="continue"/>
            <w:tcBorders>
              <w:left w:val="single" w:color="auto" w:sz="4" w:space="0"/>
              <w:right w:val="single" w:color="auto" w:sz="4" w:space="0"/>
            </w:tcBorders>
            <w:vAlign w:val="center"/>
          </w:tcPr>
          <w:p>
            <w:pPr>
              <w:widowControl/>
              <w:ind w:firstLine="0" w:firstLineChars="0"/>
              <w:jc w:val="center"/>
              <w:rPr>
                <w:rFonts w:hint="eastAsia" w:ascii="宋体" w:hAnsi="宋体" w:eastAsia="宋体" w:cs="宋体"/>
                <w:sz w:val="21"/>
                <w:szCs w:val="21"/>
              </w:rPr>
            </w:pPr>
          </w:p>
        </w:tc>
        <w:tc>
          <w:tcPr>
            <w:tcW w:w="2290"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产出质量</w:t>
            </w:r>
          </w:p>
        </w:tc>
        <w:tc>
          <w:tcPr>
            <w:tcW w:w="1440"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default" w:ascii="宋体" w:hAnsi="宋体" w:eastAsia="宋体" w:cs="宋体"/>
                <w:kern w:val="2"/>
                <w:sz w:val="21"/>
                <w:szCs w:val="21"/>
                <w:lang w:val="en-US" w:eastAsia="zh-CN" w:bidi="ar-SA"/>
              </w:rPr>
            </w:pPr>
            <w:r>
              <w:rPr>
                <w:rFonts w:hint="eastAsia" w:ascii="宋体" w:hAnsi="宋体" w:cs="宋体"/>
                <w:sz w:val="21"/>
                <w:szCs w:val="21"/>
                <w:lang w:val="en-US" w:eastAsia="zh-CN"/>
              </w:rPr>
              <w:t>10</w:t>
            </w:r>
          </w:p>
        </w:tc>
        <w:tc>
          <w:tcPr>
            <w:tcW w:w="1982"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2634" w:type="dxa"/>
            <w:vMerge w:val="continue"/>
            <w:tcBorders>
              <w:left w:val="single" w:color="auto" w:sz="4" w:space="0"/>
              <w:right w:val="single" w:color="auto" w:sz="4" w:space="0"/>
            </w:tcBorders>
            <w:vAlign w:val="center"/>
          </w:tcPr>
          <w:p>
            <w:pPr>
              <w:widowControl/>
              <w:ind w:firstLine="0" w:firstLineChars="0"/>
              <w:jc w:val="center"/>
              <w:rPr>
                <w:rFonts w:hint="eastAsia" w:ascii="宋体" w:hAnsi="宋体" w:eastAsia="宋体" w:cs="宋体"/>
                <w:sz w:val="21"/>
                <w:szCs w:val="21"/>
              </w:rPr>
            </w:pPr>
          </w:p>
        </w:tc>
        <w:tc>
          <w:tcPr>
            <w:tcW w:w="2290"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产出时效</w:t>
            </w:r>
          </w:p>
        </w:tc>
        <w:tc>
          <w:tcPr>
            <w:tcW w:w="1440"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eastAsia" w:ascii="宋体" w:hAnsi="宋体" w:eastAsia="宋体" w:cs="宋体"/>
                <w:kern w:val="2"/>
                <w:sz w:val="21"/>
                <w:szCs w:val="21"/>
                <w:lang w:val="en-US" w:eastAsia="zh-CN" w:bidi="ar-SA"/>
              </w:rPr>
            </w:pPr>
            <w:r>
              <w:rPr>
                <w:rFonts w:hint="eastAsia" w:ascii="宋体" w:hAnsi="宋体" w:cs="宋体"/>
                <w:sz w:val="21"/>
                <w:szCs w:val="21"/>
                <w:lang w:val="en-US" w:eastAsia="zh-CN"/>
              </w:rPr>
              <w:t>5</w:t>
            </w:r>
          </w:p>
        </w:tc>
        <w:tc>
          <w:tcPr>
            <w:tcW w:w="1982"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2634" w:type="dxa"/>
            <w:vMerge w:val="continue"/>
            <w:tcBorders>
              <w:left w:val="single" w:color="auto" w:sz="4" w:space="0"/>
              <w:bottom w:val="single" w:color="auto" w:sz="4" w:space="0"/>
              <w:right w:val="single" w:color="auto" w:sz="4" w:space="0"/>
            </w:tcBorders>
            <w:vAlign w:val="center"/>
          </w:tcPr>
          <w:p>
            <w:pPr>
              <w:widowControl/>
              <w:ind w:firstLine="0" w:firstLineChars="0"/>
              <w:jc w:val="center"/>
              <w:rPr>
                <w:rFonts w:hint="eastAsia" w:ascii="宋体" w:hAnsi="宋体" w:eastAsia="宋体" w:cs="宋体"/>
                <w:sz w:val="21"/>
                <w:szCs w:val="21"/>
              </w:rPr>
            </w:pPr>
          </w:p>
        </w:tc>
        <w:tc>
          <w:tcPr>
            <w:tcW w:w="2290"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产出成本</w:t>
            </w:r>
          </w:p>
        </w:tc>
        <w:tc>
          <w:tcPr>
            <w:tcW w:w="1440"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eastAsia" w:ascii="宋体" w:hAnsi="宋体" w:eastAsia="宋体" w:cs="宋体"/>
                <w:kern w:val="2"/>
                <w:sz w:val="21"/>
                <w:szCs w:val="21"/>
                <w:lang w:val="en-US" w:eastAsia="zh-CN" w:bidi="ar-SA"/>
              </w:rPr>
            </w:pPr>
            <w:r>
              <w:rPr>
                <w:rFonts w:hint="eastAsia" w:ascii="宋体" w:hAnsi="宋体" w:cs="宋体"/>
                <w:sz w:val="21"/>
                <w:szCs w:val="21"/>
                <w:lang w:val="en-US" w:eastAsia="zh-CN"/>
              </w:rPr>
              <w:t>5</w:t>
            </w:r>
          </w:p>
        </w:tc>
        <w:tc>
          <w:tcPr>
            <w:tcW w:w="1982"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2634" w:type="dxa"/>
            <w:vMerge w:val="restart"/>
            <w:tcBorders>
              <w:top w:val="nil"/>
              <w:left w:val="single" w:color="auto" w:sz="4" w:space="0"/>
              <w:right w:val="single" w:color="auto" w:sz="4" w:space="0"/>
            </w:tcBorders>
            <w:vAlign w:val="center"/>
          </w:tcPr>
          <w:p>
            <w:pPr>
              <w:widowControl/>
              <w:ind w:firstLine="0" w:firstLineChars="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效益指标</w:t>
            </w:r>
          </w:p>
        </w:tc>
        <w:tc>
          <w:tcPr>
            <w:tcW w:w="2290"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社会效益</w:t>
            </w:r>
          </w:p>
        </w:tc>
        <w:tc>
          <w:tcPr>
            <w:tcW w:w="1440"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default"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10</w:t>
            </w:r>
          </w:p>
        </w:tc>
        <w:tc>
          <w:tcPr>
            <w:tcW w:w="1982"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2634" w:type="dxa"/>
            <w:vMerge w:val="continue"/>
            <w:tcBorders>
              <w:left w:val="single" w:color="auto" w:sz="4" w:space="0"/>
              <w:bottom w:val="single" w:color="auto" w:sz="4" w:space="0"/>
              <w:right w:val="single" w:color="auto" w:sz="4" w:space="0"/>
            </w:tcBorders>
            <w:vAlign w:val="center"/>
          </w:tcPr>
          <w:p>
            <w:pPr>
              <w:widowControl/>
              <w:ind w:firstLine="0" w:firstLineChars="0"/>
              <w:jc w:val="center"/>
              <w:rPr>
                <w:rFonts w:hint="eastAsia" w:ascii="宋体" w:hAnsi="宋体" w:eastAsia="宋体" w:cs="宋体"/>
                <w:sz w:val="21"/>
                <w:szCs w:val="21"/>
              </w:rPr>
            </w:pPr>
          </w:p>
        </w:tc>
        <w:tc>
          <w:tcPr>
            <w:tcW w:w="2290"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可持续影响</w:t>
            </w:r>
          </w:p>
        </w:tc>
        <w:tc>
          <w:tcPr>
            <w:tcW w:w="1440"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15</w:t>
            </w:r>
          </w:p>
        </w:tc>
        <w:tc>
          <w:tcPr>
            <w:tcW w:w="1982"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2634" w:type="dxa"/>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满意度</w:t>
            </w:r>
            <w:r>
              <w:rPr>
                <w:rFonts w:hint="eastAsia" w:ascii="宋体" w:hAnsi="宋体" w:eastAsia="宋体" w:cs="宋体"/>
                <w:sz w:val="21"/>
                <w:szCs w:val="21"/>
                <w:lang w:val="en-US" w:eastAsia="zh-CN"/>
              </w:rPr>
              <w:t>指标</w:t>
            </w:r>
          </w:p>
        </w:tc>
        <w:tc>
          <w:tcPr>
            <w:tcW w:w="229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服务对象满意度</w:t>
            </w:r>
          </w:p>
        </w:tc>
        <w:tc>
          <w:tcPr>
            <w:tcW w:w="1440"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5</w:t>
            </w:r>
          </w:p>
        </w:tc>
        <w:tc>
          <w:tcPr>
            <w:tcW w:w="1982"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492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jc w:val="center"/>
              <w:rPr>
                <w:rFonts w:hint="eastAsia" w:ascii="宋体" w:hAnsi="宋体" w:eastAsia="宋体" w:cs="宋体"/>
                <w:sz w:val="21"/>
                <w:szCs w:val="21"/>
              </w:rPr>
            </w:pPr>
            <w:r>
              <w:rPr>
                <w:rFonts w:hint="eastAsia" w:ascii="宋体" w:hAnsi="宋体" w:eastAsia="宋体" w:cs="宋体"/>
                <w:b/>
                <w:bCs/>
                <w:sz w:val="21"/>
                <w:szCs w:val="21"/>
              </w:rPr>
              <w:t>合计</w:t>
            </w:r>
          </w:p>
        </w:tc>
        <w:tc>
          <w:tcPr>
            <w:tcW w:w="1440"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100</w:t>
            </w:r>
          </w:p>
        </w:tc>
        <w:tc>
          <w:tcPr>
            <w:tcW w:w="1982"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default" w:ascii="宋体" w:hAnsi="宋体" w:cs="宋体"/>
                <w:b/>
                <w:bCs/>
                <w:color w:val="auto"/>
                <w:sz w:val="21"/>
                <w:szCs w:val="21"/>
                <w:lang w:val="en-US" w:eastAsia="zh-CN"/>
              </w:rPr>
            </w:pPr>
            <w:r>
              <w:rPr>
                <w:rFonts w:hint="eastAsia" w:ascii="宋体" w:hAnsi="宋体" w:cs="宋体"/>
                <w:b/>
                <w:bCs/>
                <w:color w:val="auto"/>
                <w:sz w:val="21"/>
                <w:szCs w:val="21"/>
                <w:lang w:val="en-US" w:eastAsia="zh-CN"/>
              </w:rPr>
              <w:t>88.7</w:t>
            </w:r>
          </w:p>
        </w:tc>
      </w:tr>
    </w:tbl>
    <w:p>
      <w:pPr>
        <w:pStyle w:val="3"/>
        <w:bidi w:val="0"/>
        <w:rPr>
          <w:rFonts w:hint="eastAsia"/>
          <w:lang w:val="en-US" w:eastAsia="zh-CN"/>
        </w:rPr>
      </w:pPr>
      <w:bookmarkStart w:id="43" w:name="_Toc32070"/>
      <w:bookmarkStart w:id="44" w:name="_Toc11291"/>
      <w:r>
        <w:rPr>
          <w:rFonts w:hint="eastAsia"/>
          <w:lang w:eastAsia="zh-CN"/>
        </w:rPr>
        <w:t>（</w:t>
      </w:r>
      <w:r>
        <w:rPr>
          <w:rFonts w:hint="eastAsia"/>
          <w:lang w:val="en-US" w:eastAsia="zh-CN"/>
        </w:rPr>
        <w:t>二</w:t>
      </w:r>
      <w:r>
        <w:rPr>
          <w:rFonts w:hint="eastAsia"/>
          <w:lang w:eastAsia="zh-CN"/>
        </w:rPr>
        <w:t>）</w:t>
      </w:r>
      <w:r>
        <w:rPr>
          <w:rFonts w:hint="eastAsia"/>
          <w:lang w:val="en-US" w:eastAsia="zh-CN"/>
        </w:rPr>
        <w:t>评价结论</w:t>
      </w:r>
      <w:bookmarkEnd w:id="43"/>
    </w:p>
    <w:p>
      <w:pPr>
        <w:rPr>
          <w:rFonts w:hint="default"/>
          <w:lang w:val="en-US" w:eastAsia="zh-CN"/>
        </w:rPr>
      </w:pPr>
      <w:r>
        <w:rPr>
          <w:rFonts w:hint="eastAsia"/>
          <w:lang w:val="en-US" w:eastAsia="zh-CN"/>
        </w:rPr>
        <w:t>食安城建设项目创建知晓率、创建工作支持率和群众满意度均有效达成了预期目标，通过开展培训活动有效提升了信息员、协管员业务能力，通过开展多种形式的宣传活动，大幅度提升了辖区居民的食品安全意识。根据江西省市场监督管理局发布的《2018-2020年江西省食品安全治理示范城市（示范县）名单公示》，东湖区入选拟命名为“2018-2020年江西省食品安全治理示范县”的县（市、区）（截至评价日，名单尚在公示期间，公示时间为2021年7月14日至2021年7月28日），食安城建设成效良好。</w:t>
      </w:r>
    </w:p>
    <w:p>
      <w:pPr>
        <w:rPr>
          <w:rFonts w:hint="default"/>
          <w:lang w:val="en-US" w:eastAsia="zh-CN"/>
        </w:rPr>
      </w:pPr>
      <w:r>
        <w:rPr>
          <w:rFonts w:hint="default"/>
          <w:lang w:val="en-US" w:eastAsia="zh-CN"/>
        </w:rPr>
        <w:t>项目实施过程中未发现重大违规事项，但存在</w:t>
      </w:r>
      <w:r>
        <w:rPr>
          <w:rFonts w:hint="eastAsia"/>
          <w:lang w:val="en-US" w:eastAsia="zh-CN"/>
        </w:rPr>
        <w:t>绩效指标设置有待完善、预算编制科学性有待增强、财务处理规范性有待提升、制度制定及执行有待加强</w:t>
      </w:r>
      <w:r>
        <w:rPr>
          <w:rFonts w:hint="default"/>
          <w:lang w:val="en-US" w:eastAsia="zh-CN"/>
        </w:rPr>
        <w:t>等问题。</w:t>
      </w:r>
    </w:p>
    <w:p>
      <w:pPr>
        <w:pStyle w:val="2"/>
      </w:pPr>
      <w:bookmarkStart w:id="45" w:name="_Toc4042"/>
      <w:r>
        <w:rPr>
          <w:rFonts w:hint="eastAsia"/>
        </w:rPr>
        <w:t>四、绩效评价指标分析</w:t>
      </w:r>
      <w:bookmarkEnd w:id="44"/>
      <w:bookmarkEnd w:id="45"/>
    </w:p>
    <w:p>
      <w:pPr>
        <w:pStyle w:val="3"/>
        <w:spacing w:before="204" w:after="204"/>
      </w:pPr>
      <w:bookmarkStart w:id="46" w:name="_Toc25121"/>
      <w:bookmarkStart w:id="47" w:name="_Toc13850"/>
      <w:r>
        <w:rPr>
          <w:rFonts w:hint="eastAsia"/>
        </w:rPr>
        <w:t>（一）项目决策情况</w:t>
      </w:r>
      <w:bookmarkEnd w:id="46"/>
      <w:bookmarkEnd w:id="47"/>
    </w:p>
    <w:p>
      <w:pPr>
        <w:pStyle w:val="4"/>
        <w:bidi w:val="0"/>
        <w:rPr>
          <w:rFonts w:hint="eastAsia"/>
        </w:rPr>
      </w:pPr>
      <w:r>
        <w:rPr>
          <w:rFonts w:hint="eastAsia"/>
          <w:lang w:val="en-US" w:eastAsia="zh-CN"/>
        </w:rPr>
        <w:t>1、</w:t>
      </w:r>
      <w:r>
        <w:rPr>
          <w:rFonts w:hint="eastAsia"/>
        </w:rPr>
        <w:t>项目立项</w:t>
      </w:r>
    </w:p>
    <w:p>
      <w:pPr>
        <w:ind w:firstLine="560"/>
        <w:rPr>
          <w:rFonts w:hint="eastAsia"/>
          <w:b/>
          <w:bCs/>
          <w:lang w:val="en-US" w:eastAsia="zh-CN"/>
        </w:rPr>
      </w:pPr>
      <w:r>
        <w:rPr>
          <w:rFonts w:hint="eastAsia"/>
          <w:b/>
          <w:bCs/>
          <w:lang w:eastAsia="zh-CN"/>
        </w:rPr>
        <w:t>（</w:t>
      </w:r>
      <w:r>
        <w:rPr>
          <w:rFonts w:hint="eastAsia"/>
          <w:b/>
          <w:bCs/>
          <w:lang w:val="en-US" w:eastAsia="zh-CN"/>
        </w:rPr>
        <w:t>1</w:t>
      </w:r>
      <w:r>
        <w:rPr>
          <w:rFonts w:hint="eastAsia"/>
          <w:b/>
          <w:bCs/>
          <w:lang w:eastAsia="zh-CN"/>
        </w:rPr>
        <w:t>）</w:t>
      </w:r>
      <w:r>
        <w:rPr>
          <w:rFonts w:hint="eastAsia"/>
          <w:b/>
          <w:bCs/>
          <w:lang w:val="en-US" w:eastAsia="zh-CN"/>
        </w:rPr>
        <w:t>立项依据充分性</w:t>
      </w:r>
    </w:p>
    <w:p>
      <w:pPr>
        <w:bidi w:val="0"/>
        <w:rPr>
          <w:rFonts w:hint="default"/>
          <w:lang w:val="en-US" w:eastAsia="zh-CN"/>
        </w:rPr>
      </w:pPr>
      <w:r>
        <w:rPr>
          <w:rFonts w:hint="eastAsia"/>
          <w:lang w:val="en-US" w:eastAsia="zh-CN"/>
        </w:rPr>
        <w:t>《国务院关于加强食品安全工作的决定》（国发[2012]20号）文件要求地方各级政府要把食品安全工作摆上重要议事日程，主要负责同志亲自抓，切实加强统一领导和组织协调，故项目立项符合国家发展规划；东湖区市场监督管理局部门职责包括：负责食品安全监督管理。建立覆盖食品生产、流通、消费全过程的监督检查制度和隐患排查治理机制并组织实施,防范区域性、系统性食品安全风险。推动建立食品生产经营者落实主体责任的机制，健全食品安全追溯体系。组织开展食品安全监督抽检、风险监测、核查处置和风险预警、风险交流工作。组织实施特殊食品监督管理。故项目立项与部门职责范围相符，属于部门履职所需，属于公共财政支持范围。</w:t>
      </w:r>
    </w:p>
    <w:p>
      <w:pPr>
        <w:ind w:firstLine="560"/>
        <w:rPr>
          <w:rFonts w:hint="eastAsia" w:ascii="宋体" w:hAnsi="宋体" w:eastAsia="宋体" w:cs="宋体"/>
          <w:b/>
          <w:bCs/>
          <w:lang w:val="en-US" w:eastAsia="zh-CN"/>
        </w:rPr>
      </w:pPr>
      <w:r>
        <w:rPr>
          <w:rFonts w:hint="eastAsia" w:ascii="宋体" w:hAnsi="宋体" w:eastAsia="宋体" w:cs="宋体"/>
          <w:b/>
          <w:bCs/>
          <w:lang w:val="en-US" w:eastAsia="zh-CN"/>
        </w:rPr>
        <w:t>（2）立项程序规范性</w:t>
      </w:r>
    </w:p>
    <w:p>
      <w:pPr>
        <w:bidi w:val="0"/>
        <w:rPr>
          <w:rFonts w:hint="default"/>
          <w:lang w:val="en-US" w:eastAsia="zh-CN"/>
        </w:rPr>
      </w:pPr>
      <w:r>
        <w:rPr>
          <w:rFonts w:hint="eastAsia"/>
          <w:lang w:val="en-US" w:eastAsia="zh-CN"/>
        </w:rPr>
        <w:t>食安城建设项目按照规定程序申报设立，编制有项目申报登记表，明确了项目立项依据，并申报了项目绩效目标，并经区十六届人大五次会议审议批准立项。</w:t>
      </w:r>
    </w:p>
    <w:p>
      <w:pPr>
        <w:pStyle w:val="4"/>
        <w:bidi w:val="0"/>
        <w:rPr>
          <w:rFonts w:hint="eastAsia"/>
          <w:lang w:val="en-US" w:eastAsia="zh-CN"/>
        </w:rPr>
      </w:pPr>
      <w:r>
        <w:rPr>
          <w:rFonts w:hint="eastAsia"/>
          <w:lang w:val="en-US" w:eastAsia="zh-CN"/>
        </w:rPr>
        <w:t>2、绩效目标</w:t>
      </w:r>
    </w:p>
    <w:p>
      <w:pPr>
        <w:bidi w:val="0"/>
        <w:rPr>
          <w:rFonts w:hint="eastAsia"/>
          <w:b/>
          <w:bCs/>
          <w:lang w:val="en-US" w:eastAsia="zh-CN"/>
        </w:rPr>
      </w:pPr>
      <w:r>
        <w:rPr>
          <w:rFonts w:hint="eastAsia"/>
          <w:b/>
          <w:bCs/>
          <w:lang w:val="en-US" w:eastAsia="zh-CN"/>
        </w:rPr>
        <w:t>（1）绩效目标合理性</w:t>
      </w:r>
    </w:p>
    <w:p>
      <w:pPr>
        <w:bidi w:val="0"/>
        <w:rPr>
          <w:rFonts w:hint="default"/>
          <w:lang w:val="en-US" w:eastAsia="zh-CN"/>
        </w:rPr>
      </w:pPr>
      <w:r>
        <w:rPr>
          <w:rFonts w:hint="eastAsia"/>
          <w:lang w:val="en-US" w:eastAsia="zh-CN"/>
        </w:rPr>
        <w:t>项目设置有绩效目标，将群众食品安全总体满意度达70%、创建工作满意度达75%和创建工作支持率85%作为项目年度绩效目标，与项目实际内容相关，预期产出效益和效果符合正常业绩水平（江西《食品安全城市建设规范》要求群众对食品安全总体满意度不低于70%，对创建工作的知晓率不低于75%，对创建工作的支持率不低于85%）。</w:t>
      </w:r>
    </w:p>
    <w:p>
      <w:pPr>
        <w:bidi w:val="0"/>
        <w:rPr>
          <w:rFonts w:hint="eastAsia"/>
          <w:b/>
          <w:bCs/>
          <w:lang w:val="en-US" w:eastAsia="zh-CN"/>
        </w:rPr>
      </w:pPr>
      <w:r>
        <w:rPr>
          <w:rFonts w:hint="eastAsia"/>
          <w:b/>
          <w:bCs/>
          <w:lang w:val="en-US" w:eastAsia="zh-CN"/>
        </w:rPr>
        <w:t>（2）绩效指标明确性</w:t>
      </w:r>
    </w:p>
    <w:p>
      <w:pPr>
        <w:bidi w:val="0"/>
        <w:rPr>
          <w:rFonts w:hint="default"/>
          <w:lang w:val="en-US" w:eastAsia="zh-CN"/>
        </w:rPr>
      </w:pPr>
      <w:r>
        <w:rPr>
          <w:rFonts w:hint="eastAsia"/>
          <w:lang w:val="en-US" w:eastAsia="zh-CN"/>
        </w:rPr>
        <w:t>区市场监督管理局已将项目绩效目标细化分解为具体的指标，但指标值不可衡量，数量指标为“创食安城宣传任务完成率”和“信息员培训人数完成率”，宣传任务和培训人数均未明确，不利于指导项目工作开展。同时存在部分指标设置不规范的情况，如环境效益设置为“创建知晓率”和“创建工作支持率”，均不属于环境效益。</w:t>
      </w:r>
    </w:p>
    <w:p>
      <w:pPr>
        <w:pStyle w:val="4"/>
        <w:bidi w:val="0"/>
        <w:rPr>
          <w:rFonts w:hint="eastAsia"/>
          <w:lang w:val="en-US" w:eastAsia="zh-CN"/>
        </w:rPr>
      </w:pPr>
      <w:r>
        <w:rPr>
          <w:rFonts w:hint="eastAsia"/>
          <w:lang w:val="en-US" w:eastAsia="zh-CN"/>
        </w:rPr>
        <w:t>3、资金投入</w:t>
      </w:r>
    </w:p>
    <w:p>
      <w:pPr>
        <w:rPr>
          <w:rFonts w:hint="default"/>
          <w:b/>
          <w:bCs/>
          <w:lang w:val="en-US" w:eastAsia="zh-CN"/>
        </w:rPr>
      </w:pPr>
      <w:r>
        <w:rPr>
          <w:rFonts w:hint="eastAsia"/>
          <w:b/>
          <w:bCs/>
          <w:lang w:val="en-US" w:eastAsia="zh-CN"/>
        </w:rPr>
        <w:t>（1）预算编制科学性</w:t>
      </w:r>
    </w:p>
    <w:p>
      <w:pPr>
        <w:bidi w:val="0"/>
        <w:rPr>
          <w:rFonts w:hint="default"/>
          <w:lang w:val="en-US" w:eastAsia="zh-CN"/>
        </w:rPr>
      </w:pPr>
      <w:r>
        <w:rPr>
          <w:rFonts w:hint="eastAsia"/>
          <w:lang w:val="en-US" w:eastAsia="zh-CN"/>
        </w:rPr>
        <w:t>项目预算主要结合以前年度资金使用情况编制，由于未制定食安城建设项目专项资金管理办法，预算指标下达通知文件亦未明确资金用途，仅要求专款专用，项目预算涉及办公用品购置和水电费等日常开支，难以界定是否可在项目预算中安排，故仅宣传印刷费和各街办安全信息员劳务费可确定与项目预算内容相匹配，同样由于项目预算涉及水电费十三万元，实际使用二十五万余元，且无项目年度工作计划，故难以界定项目资金量是否与工作任务相匹配，同时，根据实施方案，需要对协管员等进行培训，项目预算并未安排培训费用，故预算编制科学性总体有待增强。</w:t>
      </w:r>
    </w:p>
    <w:p>
      <w:pPr>
        <w:ind w:firstLine="560"/>
        <w:rPr>
          <w:rFonts w:hint="eastAsia"/>
          <w:b/>
          <w:bCs/>
          <w:lang w:val="en-US" w:eastAsia="zh-CN"/>
        </w:rPr>
      </w:pPr>
      <w:r>
        <w:rPr>
          <w:rFonts w:hint="eastAsia"/>
          <w:b/>
          <w:bCs/>
          <w:lang w:val="en-US" w:eastAsia="zh-CN"/>
        </w:rPr>
        <w:t>（2）资金分配合理性</w:t>
      </w:r>
    </w:p>
    <w:p>
      <w:pPr>
        <w:bidi w:val="0"/>
        <w:rPr>
          <w:rFonts w:hint="default" w:eastAsia="宋体"/>
          <w:lang w:val="en-US" w:eastAsia="zh-CN"/>
        </w:rPr>
      </w:pPr>
      <w:bookmarkStart w:id="48" w:name="_Toc18017"/>
      <w:r>
        <w:rPr>
          <w:rFonts w:hint="eastAsia"/>
          <w:lang w:val="en-US" w:eastAsia="zh-CN"/>
        </w:rPr>
        <w:t>项目资金主要按照实际使用情况，据实支付，与项目实际情况相适应。</w:t>
      </w:r>
    </w:p>
    <w:p>
      <w:pPr>
        <w:pStyle w:val="3"/>
        <w:spacing w:before="204" w:after="204"/>
        <w:rPr>
          <w:rFonts w:hint="eastAsia"/>
        </w:rPr>
      </w:pPr>
      <w:bookmarkStart w:id="49" w:name="_Toc7879"/>
      <w:r>
        <w:rPr>
          <w:rFonts w:hint="eastAsia"/>
        </w:rPr>
        <w:t>（二）项目过程情况</w:t>
      </w:r>
      <w:bookmarkEnd w:id="48"/>
      <w:bookmarkEnd w:id="49"/>
    </w:p>
    <w:p>
      <w:pPr>
        <w:pStyle w:val="4"/>
        <w:bidi w:val="0"/>
        <w:rPr>
          <w:rFonts w:hint="eastAsia"/>
        </w:rPr>
      </w:pPr>
      <w:bookmarkStart w:id="50" w:name="_Toc11422"/>
      <w:r>
        <w:rPr>
          <w:rFonts w:hint="eastAsia"/>
          <w:lang w:val="en-US" w:eastAsia="zh-CN"/>
        </w:rPr>
        <w:t>1、</w:t>
      </w:r>
      <w:r>
        <w:rPr>
          <w:rFonts w:hint="eastAsia"/>
        </w:rPr>
        <w:t>资金管理</w:t>
      </w:r>
    </w:p>
    <w:p>
      <w:pPr>
        <w:bidi w:val="0"/>
        <w:rPr>
          <w:rFonts w:hint="eastAsia"/>
          <w:b/>
          <w:bCs/>
          <w:lang w:val="en-US" w:eastAsia="zh-CN"/>
        </w:rPr>
      </w:pPr>
      <w:r>
        <w:rPr>
          <w:rFonts w:hint="eastAsia"/>
          <w:b/>
          <w:bCs/>
          <w:lang w:eastAsia="zh-CN"/>
        </w:rPr>
        <w:t>（</w:t>
      </w:r>
      <w:r>
        <w:rPr>
          <w:rFonts w:hint="eastAsia"/>
          <w:b/>
          <w:bCs/>
          <w:lang w:val="en-US" w:eastAsia="zh-CN"/>
        </w:rPr>
        <w:t>1</w:t>
      </w:r>
      <w:r>
        <w:rPr>
          <w:rFonts w:hint="eastAsia"/>
          <w:b/>
          <w:bCs/>
          <w:lang w:eastAsia="zh-CN"/>
        </w:rPr>
        <w:t>）</w:t>
      </w:r>
      <w:r>
        <w:rPr>
          <w:rFonts w:hint="eastAsia"/>
          <w:b/>
          <w:bCs/>
          <w:lang w:val="en-US" w:eastAsia="zh-CN"/>
        </w:rPr>
        <w:t>资金到位率</w:t>
      </w:r>
    </w:p>
    <w:p>
      <w:pPr>
        <w:bidi w:val="0"/>
        <w:rPr>
          <w:rFonts w:hint="default"/>
          <w:b/>
          <w:bCs/>
          <w:lang w:val="en-US" w:eastAsia="zh-CN"/>
        </w:rPr>
      </w:pPr>
      <w:r>
        <w:rPr>
          <w:rFonts w:hint="eastAsia"/>
        </w:rPr>
        <w:t>资金到位率=（实际到位资金/预算资金）*100%=（</w:t>
      </w:r>
      <w:r>
        <w:rPr>
          <w:rFonts w:hint="eastAsia"/>
          <w:lang w:val="en-US" w:eastAsia="zh-CN"/>
        </w:rPr>
        <w:t>100</w:t>
      </w:r>
      <w:r>
        <w:rPr>
          <w:rFonts w:hint="eastAsia"/>
        </w:rPr>
        <w:t>/</w:t>
      </w:r>
      <w:r>
        <w:rPr>
          <w:rFonts w:hint="eastAsia"/>
          <w:lang w:val="en-US" w:eastAsia="zh-CN"/>
        </w:rPr>
        <w:t>100</w:t>
      </w:r>
      <w:r>
        <w:rPr>
          <w:rFonts w:hint="eastAsia"/>
        </w:rPr>
        <w:t>）*100%=</w:t>
      </w:r>
      <w:r>
        <w:rPr>
          <w:rFonts w:hint="eastAsia"/>
          <w:lang w:val="en-US" w:eastAsia="zh-CN"/>
        </w:rPr>
        <w:t>100</w:t>
      </w:r>
      <w:r>
        <w:rPr>
          <w:rFonts w:hint="eastAsia"/>
        </w:rPr>
        <w:t>%，</w:t>
      </w:r>
      <w:r>
        <w:rPr>
          <w:rFonts w:hint="eastAsia"/>
          <w:lang w:val="en-US" w:eastAsia="zh-CN"/>
        </w:rPr>
        <w:t>资金落实对项目的保障程度较高。</w:t>
      </w:r>
    </w:p>
    <w:p>
      <w:pPr>
        <w:bidi w:val="0"/>
        <w:rPr>
          <w:rFonts w:hint="default"/>
          <w:b/>
          <w:bCs/>
          <w:lang w:val="en-US" w:eastAsia="zh-CN"/>
        </w:rPr>
      </w:pPr>
      <w:r>
        <w:rPr>
          <w:rFonts w:hint="eastAsia"/>
          <w:b/>
          <w:bCs/>
          <w:lang w:val="en-US" w:eastAsia="zh-CN"/>
        </w:rPr>
        <w:t>（2）预算执行率</w:t>
      </w:r>
    </w:p>
    <w:p>
      <w:pPr>
        <w:ind w:firstLine="560"/>
        <w:rPr>
          <w:rFonts w:hint="eastAsia"/>
          <w:lang w:val="en-US" w:eastAsia="zh-CN"/>
        </w:rPr>
      </w:pPr>
      <w:r>
        <w:rPr>
          <w:rFonts w:hint="eastAsia"/>
          <w:lang w:val="en-US" w:eastAsia="zh-CN"/>
        </w:rPr>
        <w:t>预算执行率</w:t>
      </w:r>
      <w:r>
        <w:rPr>
          <w:rFonts w:hint="eastAsia"/>
        </w:rPr>
        <w:t>=（</w:t>
      </w:r>
      <w:r>
        <w:rPr>
          <w:rFonts w:hint="eastAsia"/>
          <w:lang w:val="en-US" w:eastAsia="zh-CN"/>
        </w:rPr>
        <w:t>实际支出资金</w:t>
      </w:r>
      <w:r>
        <w:rPr>
          <w:rFonts w:hint="eastAsia"/>
        </w:rPr>
        <w:t>/实际到位资金）*100%=（</w:t>
      </w:r>
      <w:r>
        <w:rPr>
          <w:rFonts w:hint="eastAsia"/>
          <w:b w:val="0"/>
          <w:bCs w:val="0"/>
          <w:highlight w:val="none"/>
          <w:lang w:val="en-US" w:eastAsia="zh-CN"/>
        </w:rPr>
        <w:t>100.68/10</w:t>
      </w:r>
      <w:r>
        <w:rPr>
          <w:rFonts w:hint="eastAsia"/>
          <w:lang w:val="en-US" w:eastAsia="zh-CN"/>
        </w:rPr>
        <w:t>0</w:t>
      </w:r>
      <w:r>
        <w:rPr>
          <w:rFonts w:hint="eastAsia"/>
        </w:rPr>
        <w:t>）*100%=</w:t>
      </w:r>
      <w:r>
        <w:rPr>
          <w:rFonts w:hint="eastAsia"/>
          <w:lang w:val="en-US" w:eastAsia="zh-CN"/>
        </w:rPr>
        <w:t>100.68%</w:t>
      </w:r>
      <w:r>
        <w:rPr>
          <w:rFonts w:hint="eastAsia"/>
          <w:lang w:eastAsia="zh-CN"/>
        </w:rPr>
        <w:t>，</w:t>
      </w:r>
      <w:r>
        <w:rPr>
          <w:rFonts w:hint="eastAsia"/>
          <w:lang w:val="en-US" w:eastAsia="zh-CN"/>
        </w:rPr>
        <w:t>预算执行情况良好。但实际支出内容与项目年初预算安排存在一定差异。</w:t>
      </w:r>
    </w:p>
    <w:p>
      <w:pPr>
        <w:ind w:firstLine="560"/>
        <w:rPr>
          <w:rFonts w:hint="eastAsia"/>
          <w:b/>
          <w:bCs/>
          <w:lang w:val="en-US" w:eastAsia="zh-CN"/>
        </w:rPr>
      </w:pPr>
      <w:r>
        <w:rPr>
          <w:rFonts w:hint="eastAsia"/>
          <w:b/>
          <w:bCs/>
          <w:lang w:val="en-US" w:eastAsia="zh-CN"/>
        </w:rPr>
        <w:t>（3）资金使用合规性</w:t>
      </w:r>
    </w:p>
    <w:p>
      <w:pPr>
        <w:bidi w:val="0"/>
        <w:rPr>
          <w:rFonts w:hint="default"/>
          <w:lang w:val="en-US" w:eastAsia="zh-CN"/>
        </w:rPr>
      </w:pPr>
      <w:r>
        <w:rPr>
          <w:rFonts w:hint="eastAsia"/>
          <w:lang w:val="en-US" w:eastAsia="zh-CN"/>
        </w:rPr>
        <w:t>项目资金使用总体较为规范，但由于无相关文件明确项目资金使用范围，存在部分资金无法判定是否应当从项目中列支，进而无法判断是否符合预算批复的用途。同时有小笔支出明确不可从项目中列支：某职工差旅费501元，出差事由为参加知识产权培训，无食安城建设项目无直接关联。项目入账严谨性有待增强：南昌市东湖区市场监督管理局提供的辅助明细账中12月第8号凭证某职工差旅费3431元，经查原始凭证仅包含收款人为区市监局职工的财政资金支付凭证（支付金额360元），以及一张复印的差旅报销单（金额3791元，其中住宿费2220元、交通费480元和杂费480元均无相关票据，同时无出差事由佐证材料），未附情况说明。12月第20号记账摘要为陈湘差旅费，支付360元为两天出差补助费用，附有上述差旅报销单原件，以及差旅相关发票，财务处理规范性有待增强。未发现截留、挤占、挪用和虚列项目支出的情况。</w:t>
      </w:r>
    </w:p>
    <w:p>
      <w:pPr>
        <w:pStyle w:val="4"/>
        <w:bidi w:val="0"/>
        <w:rPr>
          <w:rFonts w:hint="eastAsia"/>
        </w:rPr>
      </w:pPr>
      <w:r>
        <w:rPr>
          <w:rFonts w:hint="eastAsia"/>
          <w:lang w:val="en-US" w:eastAsia="zh-CN"/>
        </w:rPr>
        <w:t>2、</w:t>
      </w:r>
      <w:r>
        <w:rPr>
          <w:rFonts w:hint="eastAsia"/>
        </w:rPr>
        <w:t>组织实施</w:t>
      </w:r>
    </w:p>
    <w:p>
      <w:pPr>
        <w:rPr>
          <w:rFonts w:hint="default" w:eastAsia="宋体"/>
          <w:b/>
          <w:bCs/>
          <w:lang w:val="en-US" w:eastAsia="zh-CN"/>
        </w:rPr>
      </w:pPr>
      <w:r>
        <w:rPr>
          <w:rFonts w:hint="eastAsia"/>
          <w:b/>
          <w:bCs/>
          <w:lang w:eastAsia="zh-CN"/>
        </w:rPr>
        <w:t>（</w:t>
      </w:r>
      <w:r>
        <w:rPr>
          <w:rFonts w:hint="eastAsia"/>
          <w:b/>
          <w:bCs/>
          <w:lang w:val="en-US" w:eastAsia="zh-CN"/>
        </w:rPr>
        <w:t>1</w:t>
      </w:r>
      <w:r>
        <w:rPr>
          <w:rFonts w:hint="eastAsia"/>
          <w:b/>
          <w:bCs/>
          <w:lang w:eastAsia="zh-CN"/>
        </w:rPr>
        <w:t>）</w:t>
      </w:r>
      <w:r>
        <w:rPr>
          <w:rFonts w:hint="eastAsia"/>
          <w:b/>
          <w:bCs/>
          <w:lang w:val="en-US" w:eastAsia="zh-CN"/>
        </w:rPr>
        <w:t>管理制度健全性</w:t>
      </w:r>
    </w:p>
    <w:p>
      <w:pPr>
        <w:bidi w:val="0"/>
        <w:rPr>
          <w:rFonts w:hint="default"/>
          <w:lang w:val="en-US" w:eastAsia="zh-CN"/>
        </w:rPr>
      </w:pPr>
      <w:r>
        <w:rPr>
          <w:rFonts w:hint="eastAsia"/>
          <w:lang w:val="en-US" w:eastAsia="zh-CN"/>
        </w:rPr>
        <w:t>财务管理方面，未制定食安城建设项目专项资金管理办法，主要根据《南昌市东湖区市场监督管理局财务管理制度》和《南昌市东湖区市场监督管理局专项资金使用管理办法》进行管理，单位财务管理制度较为完善，有利于规范区市监局职工差旅、培训等各项开支，但从项目资金管理角度看财务管理制度不够完整，对食安城建设项目资金管理起到的作用较为局限。业务管理方面，项目业务主要按照上级工作通知开展，同时制定有《2020年度东湖区创建国家食品安全示范城市工作实施方案》，对食品安全创建工作提出了统筹性工作要求，明确了创建任务及责任分工；工作成果监督及人员考核上，制定有《东湖区食品安全协管员、信息员管理办法》、《东湖区食品安全示范城市创建和食品安全办规范化建设督查方案》、《东湖区食品安全示范城市创建工作督查督办制度》。为全力助推南昌市创建国家食品安全示范城市工作，并确保东湖区的创建工作有序、高效开展，促进创建工作制度化、规范化、程序化，东湖区食品安全委员会办公室制定了《2020年东湖区创建国家食品安全示范城市工作管理制度》内容包括联席会议制度、联络员工作制度、信息工作制度、督查督办制度和协管员信息员管理制度，业务管理制度总体较为健全。</w:t>
      </w:r>
    </w:p>
    <w:p>
      <w:pPr>
        <w:ind w:firstLine="560"/>
        <w:rPr>
          <w:rFonts w:hint="eastAsia"/>
          <w:b/>
          <w:bCs/>
          <w:lang w:val="en-US" w:eastAsia="zh-CN"/>
        </w:rPr>
      </w:pPr>
      <w:r>
        <w:rPr>
          <w:rFonts w:hint="eastAsia"/>
          <w:b/>
          <w:bCs/>
          <w:lang w:val="en-US" w:eastAsia="zh-CN"/>
        </w:rPr>
        <w:t>（2）制度执行有效性</w:t>
      </w:r>
    </w:p>
    <w:p>
      <w:pPr>
        <w:bidi w:val="0"/>
        <w:rPr>
          <w:rFonts w:hint="default"/>
          <w:lang w:val="en-US" w:eastAsia="zh-CN"/>
        </w:rPr>
      </w:pPr>
      <w:r>
        <w:rPr>
          <w:rFonts w:hint="eastAsia"/>
          <w:lang w:val="en-US" w:eastAsia="zh-CN"/>
        </w:rPr>
        <w:t>财务制度执行情况良好，能够较为严格按照《南昌市东湖区市场监督管理局财务管理制度》进行资金使用；业务制度执行有效性有待增强，《东湖区食品安全协管员、信息员管理办法》规定区食安办抽查各镇（街办、管理处）信息员考核不低于20%，实际区市场监督管理局仅对协管员进行了考核。经了解，在食品安全办规范化建设督查时有对信息员工作情况进行检查，主要是抽看其工作日志。</w:t>
      </w:r>
    </w:p>
    <w:p>
      <w:pPr>
        <w:pStyle w:val="3"/>
        <w:spacing w:before="204" w:after="204"/>
      </w:pPr>
      <w:bookmarkStart w:id="51" w:name="_Toc12888"/>
      <w:r>
        <w:rPr>
          <w:rFonts w:hint="eastAsia"/>
        </w:rPr>
        <w:t>（三）项目产出情况</w:t>
      </w:r>
      <w:bookmarkEnd w:id="50"/>
      <w:bookmarkEnd w:id="51"/>
    </w:p>
    <w:p>
      <w:pPr>
        <w:pStyle w:val="4"/>
        <w:bidi w:val="0"/>
        <w:rPr>
          <w:rFonts w:hint="eastAsia"/>
        </w:rPr>
      </w:pPr>
      <w:r>
        <w:rPr>
          <w:rFonts w:hint="eastAsia"/>
          <w:lang w:val="en-US" w:eastAsia="zh-CN"/>
        </w:rPr>
        <w:t>1、</w:t>
      </w:r>
      <w:r>
        <w:rPr>
          <w:rFonts w:hint="eastAsia"/>
        </w:rPr>
        <w:t>产出数量</w:t>
      </w:r>
    </w:p>
    <w:p>
      <w:pPr>
        <w:bidi w:val="0"/>
        <w:rPr>
          <w:rFonts w:hint="eastAsia"/>
          <w:b/>
          <w:bCs/>
          <w:lang w:val="en-US" w:eastAsia="zh-CN"/>
        </w:rPr>
      </w:pPr>
      <w:r>
        <w:rPr>
          <w:rFonts w:hint="eastAsia"/>
          <w:b/>
          <w:bCs/>
          <w:lang w:val="en-US" w:eastAsia="zh-CN"/>
        </w:rPr>
        <w:t>（1）开展1次协管员、信息员的培训工作</w:t>
      </w:r>
    </w:p>
    <w:p>
      <w:pPr>
        <w:bidi w:val="0"/>
        <w:rPr>
          <w:rFonts w:hint="default"/>
          <w:lang w:val="en-US" w:eastAsia="zh-CN"/>
        </w:rPr>
      </w:pPr>
      <w:r>
        <w:rPr>
          <w:rFonts w:hint="eastAsia"/>
          <w:lang w:val="en-US" w:eastAsia="zh-CN"/>
        </w:rPr>
        <w:t>《2020年度</w:t>
      </w:r>
      <w:r>
        <w:rPr>
          <w:rFonts w:hint="eastAsia"/>
        </w:rPr>
        <w:t>东湖区创建国家食品安全示范城</w:t>
      </w:r>
      <w:r>
        <w:rPr>
          <w:rFonts w:hint="eastAsia"/>
          <w:lang w:val="en-US" w:eastAsia="zh-CN"/>
        </w:rPr>
        <w:t>市</w:t>
      </w:r>
      <w:r>
        <w:rPr>
          <w:rFonts w:hint="eastAsia"/>
        </w:rPr>
        <w:t>工作实施方案</w:t>
      </w:r>
      <w:r>
        <w:rPr>
          <w:rFonts w:hint="eastAsia"/>
          <w:lang w:val="en-US" w:eastAsia="zh-CN"/>
        </w:rPr>
        <w:t>》提出由区食安办、镇（街道、管理处）食安办开展对协管员、信息员的培训工作。为全面开展食品安全巡查检查工作，提升食品安全协管员、信息员的业务能力，推进东湖区食品安全网格化建设，有效防控食品安全事故发生，区食品安全委员会办公室于2020年9月19日下午组织各镇（街办、管理处）食品安全协管员、各社区（村）食品安全信息员在区政府文化活动中心开展了食品安全知识培训工作。</w:t>
      </w:r>
    </w:p>
    <w:p>
      <w:pPr>
        <w:bidi w:val="0"/>
        <w:rPr>
          <w:rFonts w:hint="eastAsia"/>
          <w:b/>
          <w:bCs/>
          <w:lang w:val="en-US" w:eastAsia="zh-CN"/>
        </w:rPr>
      </w:pPr>
      <w:r>
        <w:rPr>
          <w:rFonts w:hint="eastAsia"/>
          <w:b/>
          <w:bCs/>
          <w:lang w:val="en-US" w:eastAsia="zh-CN"/>
        </w:rPr>
        <w:t>（2）开展1次协管员、信息员考核工作</w:t>
      </w:r>
    </w:p>
    <w:p>
      <w:pPr>
        <w:bidi w:val="0"/>
        <w:rPr>
          <w:rFonts w:hint="default"/>
          <w:lang w:val="en-US" w:eastAsia="zh-CN"/>
        </w:rPr>
      </w:pPr>
      <w:r>
        <w:rPr>
          <w:rFonts w:hint="eastAsia"/>
          <w:lang w:val="en-US" w:eastAsia="zh-CN"/>
        </w:rPr>
        <w:t>根据《东湖区食品安全协管员、信息员管理办法》区食安办需要对全区食品安全协管员、信息员进行考核，同时明确抽查信息员考核不低于20%，实际仅对协管员开展了考核。</w:t>
      </w:r>
    </w:p>
    <w:p>
      <w:pPr>
        <w:bidi w:val="0"/>
        <w:rPr>
          <w:rFonts w:hint="eastAsia"/>
          <w:b/>
          <w:bCs/>
          <w:lang w:val="en-US" w:eastAsia="zh-CN"/>
        </w:rPr>
      </w:pPr>
      <w:r>
        <w:rPr>
          <w:rFonts w:hint="eastAsia"/>
          <w:b/>
          <w:bCs/>
          <w:lang w:val="en-US" w:eastAsia="zh-CN"/>
        </w:rPr>
        <w:t>（3）开展4次食品安全知识宣传工作</w:t>
      </w:r>
    </w:p>
    <w:p>
      <w:pPr>
        <w:bidi w:val="0"/>
        <w:rPr>
          <w:rFonts w:hint="default"/>
          <w:lang w:val="en-US" w:eastAsia="zh-CN"/>
        </w:rPr>
      </w:pPr>
      <w:r>
        <w:rPr>
          <w:rFonts w:hint="default"/>
          <w:lang w:val="en-US" w:eastAsia="zh-CN"/>
        </w:rPr>
        <w:t>《2020年度东湖区创建国家食品安全示范城市工作实施方案》提出组织各镇（街道、管理处）、区食安委成员单位开展各类宣传活动，宣传南昌市食安城创建、毒蘑菇防控、预防保健品诈骗、特殊食品等食品安全知识。</w:t>
      </w:r>
    </w:p>
    <w:p>
      <w:pPr>
        <w:bidi w:val="0"/>
        <w:rPr>
          <w:rFonts w:hint="eastAsia"/>
          <w:lang w:val="en-US" w:eastAsia="zh-CN"/>
        </w:rPr>
      </w:pPr>
      <w:r>
        <w:rPr>
          <w:rFonts w:hint="eastAsia"/>
          <w:lang w:val="en-US" w:eastAsia="zh-CN"/>
        </w:rPr>
        <w:t>①2020年区市监局组织开展了野生毒蘑菇中毒防控工作：下发《关于做好野生毒蘑菇中毒防控工作的通知》，组织食安委各成员单位及各镇、街办、管理处在辖区内开展野生毒蘑菇中毒防控工作。印制毒蘑菇中毒防控宣传贴画1000份，“珍爱生命 拒食野生毒蘑菇”一封信10000张，发动全区150名食品安全信息员在各村（社区）发放关于预防野生蘑菇中毒致市民的一封信，提高居民的防范意识，特别是扬子洲镇和扬农管理处，做到入户宣传率100%，共发放宣传单800余份，在各主要路段悬挂宣传横幅15条，张贴宣传画册1百余张。</w:t>
      </w:r>
    </w:p>
    <w:p>
      <w:pPr>
        <w:bidi w:val="0"/>
        <w:rPr>
          <w:rFonts w:hint="default"/>
          <w:lang w:val="en-US" w:eastAsia="zh-CN"/>
        </w:rPr>
      </w:pPr>
      <w:r>
        <w:rPr>
          <w:rFonts w:hint="eastAsia"/>
          <w:lang w:val="en-US" w:eastAsia="zh-CN"/>
        </w:rPr>
        <w:t>②</w:t>
      </w:r>
      <w:r>
        <w:rPr>
          <w:rFonts w:hint="default"/>
          <w:lang w:val="en-US" w:eastAsia="zh-CN"/>
        </w:rPr>
        <w:t>组织开展</w:t>
      </w:r>
      <w:r>
        <w:rPr>
          <w:rFonts w:hint="eastAsia"/>
          <w:lang w:val="en-US" w:eastAsia="zh-CN"/>
        </w:rPr>
        <w:t>了</w:t>
      </w:r>
      <w:r>
        <w:rPr>
          <w:rFonts w:hint="default"/>
          <w:lang w:val="en-US" w:eastAsia="zh-CN"/>
        </w:rPr>
        <w:t>创建食品安全示范城市宣传</w:t>
      </w:r>
      <w:r>
        <w:rPr>
          <w:rFonts w:hint="eastAsia"/>
          <w:lang w:val="en-US" w:eastAsia="zh-CN"/>
        </w:rPr>
        <w:t>工作：</w:t>
      </w:r>
      <w:r>
        <w:rPr>
          <w:rFonts w:hint="default"/>
          <w:lang w:val="en-US" w:eastAsia="zh-CN"/>
        </w:rPr>
        <w:t>印制有创建食品安全示范城市标语的购物袋、纸抽等宣传物品2万余份， 致居民一封信30000份，通过各镇（街办、管理处）开展入户宣传，提高广大居民对食品安全创建工作的知晓率。</w:t>
      </w:r>
    </w:p>
    <w:p>
      <w:pPr>
        <w:bidi w:val="0"/>
        <w:rPr>
          <w:rFonts w:hint="default"/>
          <w:lang w:val="en-US" w:eastAsia="zh-CN"/>
        </w:rPr>
      </w:pPr>
      <w:r>
        <w:rPr>
          <w:rFonts w:hint="eastAsia"/>
          <w:lang w:val="en-US" w:eastAsia="zh-CN"/>
        </w:rPr>
        <w:t>③</w:t>
      </w:r>
      <w:r>
        <w:rPr>
          <w:rFonts w:hint="default"/>
          <w:lang w:val="en-US" w:eastAsia="zh-CN"/>
        </w:rPr>
        <w:t>聚焦热点难点开展</w:t>
      </w:r>
      <w:r>
        <w:rPr>
          <w:rFonts w:hint="eastAsia"/>
          <w:lang w:val="en-US" w:eastAsia="zh-CN"/>
        </w:rPr>
        <w:t>了食品</w:t>
      </w:r>
      <w:r>
        <w:rPr>
          <w:rFonts w:hint="default"/>
          <w:lang w:val="en-US" w:eastAsia="zh-CN"/>
        </w:rPr>
        <w:t>宣传</w:t>
      </w:r>
      <w:r>
        <w:rPr>
          <w:rFonts w:hint="eastAsia"/>
          <w:lang w:val="en-US" w:eastAsia="zh-CN"/>
        </w:rPr>
        <w:t>工作：</w:t>
      </w:r>
      <w:r>
        <w:rPr>
          <w:rFonts w:hint="default"/>
          <w:lang w:val="en-US" w:eastAsia="zh-CN"/>
        </w:rPr>
        <w:t>围绕群众关注焦点、热点，解决好群众反映强烈的食品安全问题，发布“你点我检、你送我检”调查问卷由辖区市民投票选出大家最关心的食品品种及最希望食品安全检测的地点</w:t>
      </w:r>
      <w:r>
        <w:rPr>
          <w:rFonts w:hint="eastAsia"/>
          <w:lang w:val="en-US" w:eastAsia="zh-CN"/>
        </w:rPr>
        <w:t>，</w:t>
      </w:r>
      <w:r>
        <w:rPr>
          <w:rFonts w:hint="default"/>
          <w:lang w:val="en-US" w:eastAsia="zh-CN"/>
        </w:rPr>
        <w:t>并将票选结果、活动时间和地点等内容予以公布，选取群众代表参与抽样活动，从一定程度上增强群众对食品安全民生工程的了解和认知程度。活动现场，设立咨询台，现场为市民普及食品安全常识、食品安全法规及创建全国食品安全示范城市相关内容等知识；食品抽样人员按照参与活动市民的要求进行食品抽样；食品检测人员对市民刚在农贸市场中采购的蔬菜、肉类以及送来的食用油等食品，进行快速检测，并对检测的结果进行告知。并且切实做到有送必检、随送随检。经过检测，抽样及送检的19批次食品合格率为100%。</w:t>
      </w:r>
    </w:p>
    <w:p>
      <w:pPr>
        <w:bidi w:val="0"/>
        <w:rPr>
          <w:rFonts w:hint="default"/>
          <w:lang w:val="en-US" w:eastAsia="zh-CN"/>
        </w:rPr>
      </w:pPr>
      <w:r>
        <w:rPr>
          <w:rFonts w:hint="eastAsia"/>
          <w:lang w:val="en-US" w:eastAsia="zh-CN"/>
        </w:rPr>
        <w:t>④</w:t>
      </w:r>
      <w:r>
        <w:rPr>
          <w:rFonts w:hint="default"/>
          <w:lang w:val="en-US" w:eastAsia="zh-CN"/>
        </w:rPr>
        <w:t>聚焦农村食品安全难点，在扬子洲镇开展放心食品超市、放心餐厅集中公开承诺活动，宣传创建食品安全城市知识，发放</w:t>
      </w:r>
      <w:r>
        <w:rPr>
          <w:rFonts w:hint="eastAsia"/>
          <w:lang w:val="en-US" w:eastAsia="zh-CN"/>
        </w:rPr>
        <w:t>食品安全宣传资料300余份</w:t>
      </w:r>
      <w:r>
        <w:rPr>
          <w:rFonts w:hint="default"/>
          <w:lang w:val="en-US" w:eastAsia="zh-CN"/>
        </w:rPr>
        <w:t>，提升消费者食品安全意识和创建知晓率，营造创建氛围。</w:t>
      </w:r>
    </w:p>
    <w:p>
      <w:pPr>
        <w:bidi w:val="0"/>
        <w:rPr>
          <w:rFonts w:hint="eastAsia"/>
          <w:lang w:val="en-US" w:eastAsia="zh-CN"/>
        </w:rPr>
      </w:pPr>
      <w:r>
        <w:rPr>
          <w:rFonts w:hint="eastAsia"/>
          <w:lang w:val="en-US" w:eastAsia="zh-CN"/>
        </w:rPr>
        <w:t>⑤食品安全进校园，在辖区学校开展食品安全主题班会，包括食品中毒的特点、食物中毒的种类、产生身体不适后可采取的措施、认识产品生产日期、开展食品安全知识竞赛等。</w:t>
      </w:r>
    </w:p>
    <w:p>
      <w:pPr>
        <w:pStyle w:val="4"/>
        <w:bidi w:val="0"/>
        <w:rPr>
          <w:rFonts w:hint="eastAsia"/>
        </w:rPr>
      </w:pPr>
      <w:r>
        <w:rPr>
          <w:rFonts w:hint="eastAsia"/>
          <w:lang w:val="en-US" w:eastAsia="zh-CN"/>
        </w:rPr>
        <w:t>2、</w:t>
      </w:r>
      <w:r>
        <w:rPr>
          <w:rFonts w:hint="eastAsia"/>
        </w:rPr>
        <w:t>产出质量</w:t>
      </w:r>
    </w:p>
    <w:p>
      <w:pPr>
        <w:bidi w:val="0"/>
        <w:rPr>
          <w:rFonts w:hint="eastAsia"/>
          <w:b/>
          <w:bCs/>
          <w:lang w:val="en-US" w:eastAsia="zh-CN"/>
        </w:rPr>
      </w:pPr>
      <w:r>
        <w:rPr>
          <w:rFonts w:hint="eastAsia"/>
          <w:b/>
          <w:bCs/>
          <w:lang w:val="en-US" w:eastAsia="zh-CN"/>
        </w:rPr>
        <w:t>（1）协管员、信息员参培率</w:t>
      </w:r>
    </w:p>
    <w:p>
      <w:pPr>
        <w:bidi w:val="0"/>
        <w:rPr>
          <w:rFonts w:hint="eastAsia"/>
          <w:lang w:val="en-US" w:eastAsia="zh-CN"/>
        </w:rPr>
      </w:pPr>
      <w:r>
        <w:rPr>
          <w:rFonts w:hint="eastAsia"/>
          <w:lang w:val="en-US" w:eastAsia="zh-CN"/>
        </w:rPr>
        <w:t>经查东湖区协管员、信息员培训班签到表，各村（社）均安排有人员参与培训，协管员、信息员参培率达100%。</w:t>
      </w:r>
    </w:p>
    <w:p>
      <w:pPr>
        <w:bidi w:val="0"/>
        <w:rPr>
          <w:rFonts w:hint="eastAsia"/>
          <w:b/>
          <w:bCs/>
          <w:lang w:val="en-US" w:eastAsia="zh-CN"/>
        </w:rPr>
      </w:pPr>
      <w:r>
        <w:rPr>
          <w:rFonts w:hint="eastAsia"/>
          <w:b/>
          <w:bCs/>
          <w:lang w:val="en-US" w:eastAsia="zh-CN"/>
        </w:rPr>
        <w:t>（2）协管员、信息员考核通过率</w:t>
      </w:r>
    </w:p>
    <w:p>
      <w:pPr>
        <w:bidi w:val="0"/>
        <w:rPr>
          <w:rFonts w:hint="eastAsia"/>
          <w:lang w:val="en-US" w:eastAsia="zh-CN"/>
        </w:rPr>
      </w:pPr>
      <w:r>
        <w:rPr>
          <w:rFonts w:hint="eastAsia"/>
          <w:lang w:val="en-US" w:eastAsia="zh-CN"/>
        </w:rPr>
        <w:t>根据区食安办出具的《东湖区2020年度食品安全协管员考核结果》，所有协管员考核结果均为优秀，协管员考核通过率达100%。</w:t>
      </w:r>
    </w:p>
    <w:p>
      <w:pPr>
        <w:bidi w:val="0"/>
        <w:rPr>
          <w:rFonts w:hint="default"/>
          <w:b/>
          <w:bCs/>
          <w:lang w:val="en-US" w:eastAsia="zh-CN"/>
        </w:rPr>
      </w:pPr>
      <w:r>
        <w:rPr>
          <w:rFonts w:hint="eastAsia"/>
          <w:b/>
          <w:bCs/>
          <w:lang w:val="en-US" w:eastAsia="zh-CN"/>
        </w:rPr>
        <w:t>（3）宣传内容覆盖率</w:t>
      </w:r>
    </w:p>
    <w:p>
      <w:pPr>
        <w:bidi w:val="0"/>
        <w:rPr>
          <w:rFonts w:hint="default"/>
          <w:lang w:val="en-US" w:eastAsia="zh-CN"/>
        </w:rPr>
      </w:pPr>
      <w:r>
        <w:rPr>
          <w:rFonts w:hint="default"/>
          <w:lang w:val="en-US" w:eastAsia="zh-CN"/>
        </w:rPr>
        <w:t>《2020年度东湖区创建国家食品安全示范城市工作实施方案》提出组织各镇（街道、管理处）、区食安委成员单位开展各类宣传活动，宣传南昌市食安城创建、毒蘑菇防控、预防保健品诈骗、特殊食品等食品安全知识。</w:t>
      </w:r>
      <w:r>
        <w:rPr>
          <w:rFonts w:hint="eastAsia"/>
          <w:lang w:val="en-US" w:eastAsia="zh-CN"/>
        </w:rPr>
        <w:t>实际开展了食安城创建、毒蘑菇防控、食品安全常识、食品法规，宣传内容覆盖较广，保健食品防诈骗知识宣传融合于食品安全知识宣传内容，组织宣传食品安全知识宣传活动时发放了保健食品食品科普宣传手册，同时在保健食品经营单位、农贸市场等场所通过led显示屏循环播放防诈骗宣传标语，张贴宣传画。宣传内容覆盖率10</w:t>
      </w:r>
      <w:bookmarkStart w:id="68" w:name="_GoBack"/>
      <w:bookmarkEnd w:id="68"/>
      <w:r>
        <w:rPr>
          <w:rFonts w:hint="eastAsia"/>
          <w:lang w:val="en-US" w:eastAsia="zh-CN"/>
        </w:rPr>
        <w:t>0%。</w:t>
      </w:r>
    </w:p>
    <w:p>
      <w:pPr>
        <w:pStyle w:val="4"/>
        <w:bidi w:val="0"/>
        <w:rPr>
          <w:rFonts w:hint="eastAsia"/>
          <w:b/>
          <w:bCs/>
        </w:rPr>
      </w:pPr>
      <w:r>
        <w:rPr>
          <w:rFonts w:hint="eastAsia"/>
          <w:b/>
          <w:bCs/>
          <w:lang w:val="en-US" w:eastAsia="zh-CN"/>
        </w:rPr>
        <w:t>3、</w:t>
      </w:r>
      <w:r>
        <w:rPr>
          <w:rFonts w:hint="eastAsia"/>
          <w:b/>
          <w:bCs/>
        </w:rPr>
        <w:t>产出时效</w:t>
      </w:r>
    </w:p>
    <w:p>
      <w:pPr>
        <w:bidi w:val="0"/>
        <w:rPr>
          <w:rFonts w:hint="default"/>
          <w:lang w:val="en-US" w:eastAsia="zh-CN"/>
        </w:rPr>
      </w:pPr>
      <w:r>
        <w:rPr>
          <w:rFonts w:hint="eastAsia"/>
          <w:lang w:val="en-US" w:eastAsia="zh-CN"/>
        </w:rPr>
        <w:t>由于宣传工作为全年性开展工作，故不设置时效指标评价宣传工作开展及时性；由于协管员、信息员管理办法中未对考核时间安排作出要求，故未设置考核时效指标。</w:t>
      </w:r>
    </w:p>
    <w:p>
      <w:pPr>
        <w:bidi w:val="0"/>
        <w:rPr>
          <w:rFonts w:hint="eastAsia"/>
          <w:b/>
          <w:bCs/>
          <w:lang w:val="en-US" w:eastAsia="zh-CN"/>
        </w:rPr>
      </w:pPr>
      <w:r>
        <w:rPr>
          <w:rFonts w:hint="eastAsia"/>
          <w:b/>
          <w:bCs/>
          <w:lang w:val="en-US" w:eastAsia="zh-CN"/>
        </w:rPr>
        <w:t>（1）协管员、信息员培训及时率</w:t>
      </w:r>
    </w:p>
    <w:p>
      <w:pPr>
        <w:bidi w:val="0"/>
        <w:rPr>
          <w:rFonts w:hint="eastAsia"/>
          <w:lang w:val="en-US" w:eastAsia="zh-CN"/>
        </w:rPr>
      </w:pPr>
      <w:r>
        <w:rPr>
          <w:rFonts w:hint="eastAsia"/>
          <w:lang w:val="en-US" w:eastAsia="zh-CN"/>
        </w:rPr>
        <w:t>协管员、信息员培训于2020年9月19日召开，能够有效提升食品安全协管员、信息员业务能力，推进辖区食品安全网格化建设，培训及时率100%。</w:t>
      </w:r>
    </w:p>
    <w:p>
      <w:pPr>
        <w:bidi w:val="0"/>
        <w:rPr>
          <w:rFonts w:hint="default"/>
          <w:lang w:val="en-US" w:eastAsia="zh-CN"/>
        </w:rPr>
      </w:pPr>
    </w:p>
    <w:p>
      <w:pPr>
        <w:pStyle w:val="4"/>
        <w:bidi w:val="0"/>
        <w:rPr>
          <w:rFonts w:hint="eastAsia"/>
        </w:rPr>
      </w:pPr>
      <w:r>
        <w:rPr>
          <w:rFonts w:hint="eastAsia"/>
          <w:lang w:val="en-US" w:eastAsia="zh-CN"/>
        </w:rPr>
        <w:t>4、</w:t>
      </w:r>
      <w:r>
        <w:rPr>
          <w:rFonts w:hint="eastAsia"/>
        </w:rPr>
        <w:t>产出成本</w:t>
      </w:r>
    </w:p>
    <w:p>
      <w:pPr>
        <w:bidi w:val="0"/>
        <w:rPr>
          <w:rFonts w:hint="eastAsia"/>
          <w:b/>
          <w:bCs/>
          <w:lang w:val="en-US" w:eastAsia="zh-CN"/>
        </w:rPr>
      </w:pPr>
      <w:bookmarkStart w:id="52" w:name="_Toc3869"/>
      <w:r>
        <w:rPr>
          <w:rFonts w:hint="eastAsia"/>
          <w:b/>
          <w:bCs/>
          <w:lang w:eastAsia="zh-CN"/>
        </w:rPr>
        <w:t>（</w:t>
      </w:r>
      <w:r>
        <w:rPr>
          <w:rFonts w:hint="eastAsia"/>
          <w:b/>
          <w:bCs/>
          <w:lang w:val="en-US" w:eastAsia="zh-CN"/>
        </w:rPr>
        <w:t>1</w:t>
      </w:r>
      <w:r>
        <w:rPr>
          <w:rFonts w:hint="eastAsia"/>
          <w:b/>
          <w:bCs/>
          <w:lang w:eastAsia="zh-CN"/>
        </w:rPr>
        <w:t>）</w:t>
      </w:r>
      <w:r>
        <w:rPr>
          <w:rFonts w:hint="eastAsia"/>
          <w:b/>
          <w:bCs/>
          <w:lang w:val="en-US" w:eastAsia="zh-CN"/>
        </w:rPr>
        <w:t>宣传成本控制率</w:t>
      </w:r>
    </w:p>
    <w:p>
      <w:pPr>
        <w:bidi w:val="0"/>
        <w:rPr>
          <w:rFonts w:hint="default"/>
          <w:lang w:val="en-US" w:eastAsia="zh-CN"/>
        </w:rPr>
      </w:pPr>
      <w:r>
        <w:rPr>
          <w:rFonts w:hint="eastAsia"/>
          <w:lang w:val="en-US" w:eastAsia="zh-CN"/>
        </w:rPr>
        <w:t>根据《2020年食安城创建资金明细测算表》，预计宣传印刷费用为30万元，实际仅使用3.5万元左右，宣传成本控制情况良好，但同时需要注意预算编制合理性。</w:t>
      </w:r>
    </w:p>
    <w:p>
      <w:pPr>
        <w:bidi w:val="0"/>
        <w:rPr>
          <w:rFonts w:hint="default"/>
          <w:b/>
          <w:bCs/>
          <w:lang w:val="en-US" w:eastAsia="zh-CN"/>
        </w:rPr>
      </w:pPr>
      <w:r>
        <w:rPr>
          <w:rFonts w:hint="eastAsia"/>
          <w:b/>
          <w:bCs/>
          <w:lang w:val="en-US" w:eastAsia="zh-CN"/>
        </w:rPr>
        <w:t>（2）协管员、信息员劳务成本控制率</w:t>
      </w:r>
    </w:p>
    <w:p>
      <w:pPr>
        <w:rPr>
          <w:rFonts w:hint="default" w:eastAsia="宋体"/>
          <w:lang w:val="en-US" w:eastAsia="zh-CN"/>
        </w:rPr>
      </w:pPr>
      <w:r>
        <w:rPr>
          <w:rFonts w:hint="eastAsia"/>
        </w:rPr>
        <w:t>根据《2020年食安城创建资金明细测算表》，预计协管员、信息员劳务费用为</w:t>
      </w:r>
      <w:r>
        <w:rPr>
          <w:rFonts w:hint="eastAsia"/>
          <w:lang w:val="en-US" w:eastAsia="zh-CN"/>
        </w:rPr>
        <w:t>16</w:t>
      </w:r>
      <w:r>
        <w:rPr>
          <w:rFonts w:hint="eastAsia"/>
        </w:rPr>
        <w:t>万元，</w:t>
      </w:r>
      <w:r>
        <w:rPr>
          <w:rFonts w:hint="eastAsia"/>
          <w:lang w:val="en-US" w:eastAsia="zh-CN"/>
        </w:rPr>
        <w:t>实际使用16.3万元左右，成本控制良好，均按照《协管员、信息员管理制度》要求的平均每人每年不低于1200元发放，成本控制情况良好。</w:t>
      </w:r>
    </w:p>
    <w:p>
      <w:pPr>
        <w:pStyle w:val="3"/>
        <w:spacing w:before="204" w:after="204"/>
        <w:rPr>
          <w:rFonts w:hint="eastAsia"/>
        </w:rPr>
      </w:pPr>
      <w:bookmarkStart w:id="53" w:name="_Toc11660"/>
      <w:r>
        <w:rPr>
          <w:rFonts w:hint="eastAsia"/>
        </w:rPr>
        <w:t>（四）项目效益情况</w:t>
      </w:r>
      <w:bookmarkEnd w:id="52"/>
      <w:bookmarkEnd w:id="53"/>
    </w:p>
    <w:p>
      <w:pPr>
        <w:pStyle w:val="4"/>
        <w:bidi w:val="0"/>
        <w:rPr>
          <w:rFonts w:hint="eastAsia"/>
          <w:lang w:val="en-US" w:eastAsia="zh-CN"/>
        </w:rPr>
      </w:pPr>
      <w:r>
        <w:rPr>
          <w:rFonts w:hint="eastAsia"/>
          <w:lang w:val="en-US" w:eastAsia="zh-CN"/>
        </w:rPr>
        <w:t>1、社会效益</w:t>
      </w:r>
    </w:p>
    <w:p>
      <w:pPr>
        <w:bidi w:val="0"/>
        <w:rPr>
          <w:rFonts w:hint="eastAsia"/>
          <w:b/>
          <w:bCs/>
          <w:lang w:val="en-US" w:eastAsia="zh-CN"/>
        </w:rPr>
      </w:pPr>
      <w:r>
        <w:rPr>
          <w:rFonts w:hint="eastAsia"/>
          <w:b/>
          <w:bCs/>
          <w:lang w:val="en-US" w:eastAsia="zh-CN"/>
        </w:rPr>
        <w:t>（1）重大食品安全事故发生数</w:t>
      </w:r>
    </w:p>
    <w:p>
      <w:pPr>
        <w:bidi w:val="0"/>
        <w:rPr>
          <w:rFonts w:hint="eastAsia"/>
          <w:lang w:val="en-US" w:eastAsia="zh-CN"/>
        </w:rPr>
      </w:pPr>
      <w:r>
        <w:rPr>
          <w:rFonts w:hint="eastAsia"/>
          <w:lang w:val="en-US" w:eastAsia="zh-CN"/>
        </w:rPr>
        <w:t>《2020年度</w:t>
      </w:r>
      <w:r>
        <w:rPr>
          <w:rFonts w:hint="eastAsia"/>
        </w:rPr>
        <w:t>东湖区创建国家食品安全示范城市工作实施方案</w:t>
      </w:r>
      <w:r>
        <w:rPr>
          <w:rFonts w:hint="eastAsia"/>
          <w:lang w:val="en-US" w:eastAsia="zh-CN"/>
        </w:rPr>
        <w:t>》提出了“杜绝系统性、区域性、地源性食品安全风险，不发生重大食品安全事故或影响恶劣的食品安全事件”的创建目标，实际2020年未发生重大食品安全事故，有效达成了当年度创建目标。</w:t>
      </w:r>
    </w:p>
    <w:p>
      <w:pPr>
        <w:pStyle w:val="4"/>
        <w:bidi w:val="0"/>
        <w:rPr>
          <w:rFonts w:hint="eastAsia"/>
          <w:lang w:val="en-US" w:eastAsia="zh-CN"/>
        </w:rPr>
      </w:pPr>
      <w:r>
        <w:rPr>
          <w:rFonts w:hint="eastAsia"/>
          <w:lang w:val="en-US" w:eastAsia="zh-CN"/>
        </w:rPr>
        <w:t>2、可持续影响</w:t>
      </w:r>
    </w:p>
    <w:p>
      <w:pPr>
        <w:bidi w:val="0"/>
        <w:rPr>
          <w:rFonts w:hint="eastAsia"/>
          <w:b/>
          <w:bCs/>
          <w:lang w:val="en-US" w:eastAsia="zh-CN"/>
        </w:rPr>
      </w:pPr>
      <w:r>
        <w:rPr>
          <w:rFonts w:hint="eastAsia"/>
          <w:b/>
          <w:bCs/>
          <w:lang w:val="en-US" w:eastAsia="zh-CN"/>
        </w:rPr>
        <w:t>（1）创建知晓率</w:t>
      </w:r>
    </w:p>
    <w:p>
      <w:pPr>
        <w:bidi w:val="0"/>
        <w:rPr>
          <w:rFonts w:hint="default"/>
          <w:lang w:val="en-US" w:eastAsia="zh-CN"/>
        </w:rPr>
      </w:pPr>
      <w:r>
        <w:rPr>
          <w:rFonts w:hint="eastAsia"/>
        </w:rPr>
        <w:t>《2020年度东湖区创建国家食品安全示范城市工作实施方案》提出</w:t>
      </w:r>
      <w:r>
        <w:rPr>
          <w:rFonts w:hint="eastAsia"/>
          <w:lang w:val="en-US" w:eastAsia="zh-CN"/>
        </w:rPr>
        <w:t>要</w:t>
      </w:r>
      <w:r>
        <w:rPr>
          <w:rFonts w:hint="eastAsia"/>
        </w:rPr>
        <w:t>对城市食品安全现状进行满意度测评，</w:t>
      </w:r>
      <w:r>
        <w:rPr>
          <w:rFonts w:hint="eastAsia"/>
          <w:lang w:eastAsia="zh-CN"/>
        </w:rPr>
        <w:t>创建工作的知晓率达</w:t>
      </w:r>
      <w:r>
        <w:rPr>
          <w:rFonts w:hint="eastAsia"/>
          <w:lang w:val="en-US" w:eastAsia="zh-CN"/>
        </w:rPr>
        <w:t>75%以上。</w:t>
      </w:r>
    </w:p>
    <w:p>
      <w:pPr>
        <w:bidi w:val="0"/>
        <w:ind w:left="0" w:leftChars="0" w:firstLine="0" w:firstLineChars="0"/>
        <w:rPr>
          <w:rFonts w:hint="default"/>
          <w:lang w:val="en-US" w:eastAsia="zh-CN"/>
        </w:rPr>
      </w:pPr>
      <w:r>
        <w:rPr>
          <w:rFonts w:hint="default"/>
          <w:lang w:val="en-US" w:eastAsia="zh-CN"/>
        </w:rPr>
        <w:t>区食安办通过微信线上程序对东湖区辖区内居民群众开展了东湖区食安城创建工作满意度调查，通过调查了解居民群众对食安城创建及食品安全工作的知晓率、支持率、满意度及意见建议，经过统计分析</w:t>
      </w:r>
      <w:r>
        <w:rPr>
          <w:rFonts w:hint="eastAsia"/>
          <w:lang w:val="en-US" w:eastAsia="zh-CN"/>
        </w:rPr>
        <w:t>得到创建知晓率为94.23%，群众知晓率较高，能够可持续推动落实食品安全创建工作。</w:t>
      </w:r>
    </w:p>
    <w:p>
      <w:pPr>
        <w:bidi w:val="0"/>
        <w:rPr>
          <w:rFonts w:hint="eastAsia"/>
          <w:b/>
          <w:bCs/>
          <w:lang w:val="en-US" w:eastAsia="zh-CN"/>
        </w:rPr>
      </w:pPr>
      <w:r>
        <w:rPr>
          <w:rFonts w:hint="eastAsia"/>
          <w:b/>
          <w:bCs/>
          <w:lang w:val="en-US" w:eastAsia="zh-CN"/>
        </w:rPr>
        <w:t>（2）创建工作支持率</w:t>
      </w:r>
    </w:p>
    <w:p>
      <w:pPr>
        <w:bidi w:val="0"/>
        <w:rPr>
          <w:rFonts w:hint="default"/>
          <w:lang w:val="en-US" w:eastAsia="zh-CN"/>
        </w:rPr>
      </w:pPr>
      <w:r>
        <w:rPr>
          <w:rFonts w:hint="eastAsia"/>
        </w:rPr>
        <w:t>《2020年度东湖区创建国家食品安全示范城市工作实施方案》提出</w:t>
      </w:r>
      <w:r>
        <w:rPr>
          <w:rFonts w:hint="eastAsia"/>
          <w:lang w:val="en-US" w:eastAsia="zh-CN"/>
        </w:rPr>
        <w:t>要</w:t>
      </w:r>
      <w:r>
        <w:rPr>
          <w:rFonts w:hint="eastAsia"/>
        </w:rPr>
        <w:t>对城市食品安全现状进行满意度测评，</w:t>
      </w:r>
      <w:r>
        <w:rPr>
          <w:rFonts w:hint="eastAsia"/>
          <w:lang w:val="en-US" w:eastAsia="zh-CN"/>
        </w:rPr>
        <w:t>创建工作的支持率达85%以上。</w:t>
      </w:r>
      <w:r>
        <w:rPr>
          <w:rFonts w:hint="default"/>
          <w:lang w:val="en-US" w:eastAsia="zh-CN"/>
        </w:rPr>
        <w:t>区食安办通过微信线上程序对东湖区辖区内居民群众开展了东湖区食安城创建工作满意度调查，通过调查了解居民群众对食安城创建及食品安全工作的知晓率、支持率、满意度及意见建议，经过统计分析得到创建</w:t>
      </w:r>
      <w:r>
        <w:rPr>
          <w:rFonts w:hint="eastAsia"/>
          <w:lang w:val="en-US" w:eastAsia="zh-CN"/>
        </w:rPr>
        <w:t>工作支持</w:t>
      </w:r>
      <w:r>
        <w:rPr>
          <w:rFonts w:hint="default"/>
          <w:lang w:val="en-US" w:eastAsia="zh-CN"/>
        </w:rPr>
        <w:t>率为99.08%（其中非常支持占93.07%，比较支持占6.01%），群众</w:t>
      </w:r>
      <w:r>
        <w:rPr>
          <w:rFonts w:hint="eastAsia"/>
          <w:lang w:val="en-US" w:eastAsia="zh-CN"/>
        </w:rPr>
        <w:t>支持率很高</w:t>
      </w:r>
      <w:r>
        <w:rPr>
          <w:rFonts w:hint="default"/>
          <w:lang w:val="en-US" w:eastAsia="zh-CN"/>
        </w:rPr>
        <w:t>，</w:t>
      </w:r>
      <w:r>
        <w:rPr>
          <w:rFonts w:hint="eastAsia"/>
          <w:lang w:val="en-US" w:eastAsia="zh-CN"/>
        </w:rPr>
        <w:t>能够有效促进食品安全城市创建工作可持续开展</w:t>
      </w:r>
      <w:r>
        <w:rPr>
          <w:rFonts w:hint="default"/>
          <w:lang w:val="en-US" w:eastAsia="zh-CN"/>
        </w:rPr>
        <w:t>。</w:t>
      </w:r>
    </w:p>
    <w:p>
      <w:pPr>
        <w:bidi w:val="0"/>
        <w:rPr>
          <w:rFonts w:hint="eastAsia"/>
          <w:b/>
          <w:bCs/>
          <w:lang w:val="en-US" w:eastAsia="zh-CN"/>
        </w:rPr>
      </w:pPr>
      <w:r>
        <w:rPr>
          <w:rFonts w:hint="eastAsia"/>
          <w:b/>
          <w:bCs/>
          <w:lang w:val="en-US" w:eastAsia="zh-CN"/>
        </w:rPr>
        <w:t>（3）社区信息员配置率</w:t>
      </w:r>
    </w:p>
    <w:p>
      <w:pPr>
        <w:bidi w:val="0"/>
        <w:rPr>
          <w:rFonts w:hint="default"/>
          <w:lang w:val="en-US" w:eastAsia="zh-CN"/>
        </w:rPr>
      </w:pPr>
      <w:r>
        <w:rPr>
          <w:rFonts w:hint="default"/>
          <w:lang w:val="en-US" w:eastAsia="zh-CN"/>
        </w:rPr>
        <w:t>《2020年度东湖区创建国家食品安全示范城市工作实施方案》提出</w:t>
      </w:r>
      <w:r>
        <w:rPr>
          <w:rFonts w:hint="eastAsia"/>
          <w:lang w:val="en-US" w:eastAsia="zh-CN"/>
        </w:rPr>
        <w:t>“</w:t>
      </w:r>
      <w:r>
        <w:rPr>
          <w:rFonts w:hint="default"/>
          <w:lang w:val="en-US" w:eastAsia="zh-CN"/>
        </w:rPr>
        <w:t>区食安办和镇（街道、管理处）食安办应至少配备1名专(兼)职工作人员。每个行政村(社区)应至少配备1名专(兼)职信息员</w:t>
      </w:r>
      <w:r>
        <w:rPr>
          <w:rFonts w:hint="eastAsia"/>
          <w:lang w:val="en-US" w:eastAsia="zh-CN"/>
        </w:rPr>
        <w:t>”，根据《东湖区2020年度食品安全协管员考核结果》和东湖区协管员、信息员培训班签到表列示的人员名单，各街道均配备有协管员，各社区均配有信息员，社区信息员配置率100%，保障了食品安全日常巡查检查工作可持续开展</w:t>
      </w:r>
      <w:r>
        <w:rPr>
          <w:rFonts w:hint="default"/>
          <w:lang w:val="en-US" w:eastAsia="zh-CN"/>
        </w:rPr>
        <w:t>。</w:t>
      </w:r>
    </w:p>
    <w:p>
      <w:pPr>
        <w:pStyle w:val="4"/>
        <w:bidi w:val="0"/>
        <w:rPr>
          <w:rFonts w:hint="eastAsia"/>
          <w:lang w:val="en-US" w:eastAsia="zh-CN"/>
        </w:rPr>
      </w:pPr>
      <w:r>
        <w:rPr>
          <w:rFonts w:hint="eastAsia"/>
          <w:lang w:val="en-US" w:eastAsia="zh-CN"/>
        </w:rPr>
        <w:t>3、满意度</w:t>
      </w:r>
    </w:p>
    <w:p>
      <w:pPr>
        <w:bidi w:val="0"/>
        <w:rPr>
          <w:rFonts w:hint="default" w:eastAsia="宋体"/>
          <w:b/>
          <w:bCs/>
          <w:lang w:val="en-US" w:eastAsia="zh-CN"/>
        </w:rPr>
      </w:pPr>
      <w:bookmarkStart w:id="54" w:name="_Toc12489"/>
      <w:r>
        <w:rPr>
          <w:rFonts w:hint="eastAsia"/>
          <w:b/>
          <w:bCs/>
          <w:lang w:eastAsia="zh-CN"/>
        </w:rPr>
        <w:t>（</w:t>
      </w:r>
      <w:r>
        <w:rPr>
          <w:rFonts w:hint="eastAsia"/>
          <w:b/>
          <w:bCs/>
          <w:lang w:val="en-US" w:eastAsia="zh-CN"/>
        </w:rPr>
        <w:t>1</w:t>
      </w:r>
      <w:r>
        <w:rPr>
          <w:rFonts w:hint="eastAsia"/>
          <w:b/>
          <w:bCs/>
          <w:lang w:eastAsia="zh-CN"/>
        </w:rPr>
        <w:t>）</w:t>
      </w:r>
      <w:r>
        <w:rPr>
          <w:rFonts w:hint="eastAsia"/>
          <w:b/>
          <w:bCs/>
          <w:lang w:val="en-US" w:eastAsia="zh-CN"/>
        </w:rPr>
        <w:t>群众满意度</w:t>
      </w:r>
    </w:p>
    <w:p>
      <w:pPr>
        <w:rPr>
          <w:rFonts w:hint="default" w:eastAsia="宋体"/>
          <w:lang w:val="en-US" w:eastAsia="zh-CN"/>
        </w:rPr>
      </w:pPr>
      <w:r>
        <w:rPr>
          <w:rFonts w:hint="eastAsia"/>
        </w:rPr>
        <w:t>《2020年度东湖区创建国家食品安全示范城市工作实施方案》提出要对城市食品安全现状进行满意度测评，总体满意度达到70%以上</w:t>
      </w:r>
      <w:r>
        <w:rPr>
          <w:rFonts w:hint="eastAsia"/>
          <w:lang w:eastAsia="zh-CN"/>
        </w:rPr>
        <w:t>。</w:t>
      </w:r>
      <w:r>
        <w:rPr>
          <w:rFonts w:hint="eastAsia"/>
        </w:rPr>
        <w:t>区食安办通过微信线上程序对东湖区辖区内居民群众开展了东湖区食安城创建工作满意度调查，通过调查了解居民群众对食安城创建及食品安全工作的知晓率、支持率、满意度及意见建议，经过统计分析，</w:t>
      </w:r>
      <w:r>
        <w:rPr>
          <w:rFonts w:hint="eastAsia"/>
          <w:lang w:val="en-US" w:eastAsia="zh-CN"/>
        </w:rPr>
        <w:t>得到群众满意度为85.3%（其中非常满意占53.95%，比较满意占31.35%），较好的完成了年初目标，并达到了江西省标准。</w:t>
      </w:r>
    </w:p>
    <w:p>
      <w:pPr>
        <w:pStyle w:val="2"/>
      </w:pPr>
      <w:bookmarkStart w:id="55" w:name="_Toc32296"/>
      <w:r>
        <w:rPr>
          <w:rFonts w:hint="eastAsia"/>
        </w:rPr>
        <w:t>五、主要经验及做法、存在的问题及原因分析</w:t>
      </w:r>
      <w:bookmarkEnd w:id="54"/>
      <w:bookmarkEnd w:id="55"/>
    </w:p>
    <w:p>
      <w:pPr>
        <w:pStyle w:val="3"/>
        <w:spacing w:before="204" w:after="204"/>
        <w:rPr>
          <w:rFonts w:hint="eastAsia"/>
        </w:rPr>
      </w:pPr>
      <w:bookmarkStart w:id="56" w:name="_Toc7362"/>
      <w:bookmarkStart w:id="57" w:name="_Toc23005"/>
      <w:r>
        <w:rPr>
          <w:rFonts w:hint="eastAsia"/>
        </w:rPr>
        <w:t>（一）主要经验及做法</w:t>
      </w:r>
      <w:bookmarkEnd w:id="56"/>
      <w:bookmarkEnd w:id="57"/>
    </w:p>
    <w:p>
      <w:pPr>
        <w:pStyle w:val="4"/>
        <w:bidi w:val="0"/>
        <w:rPr>
          <w:rFonts w:hint="eastAsia"/>
          <w:lang w:val="en-US" w:eastAsia="zh-CN"/>
        </w:rPr>
      </w:pPr>
      <w:bookmarkStart w:id="58" w:name="_Toc990"/>
      <w:r>
        <w:rPr>
          <w:rFonts w:hint="eastAsia"/>
          <w:lang w:val="en-US" w:eastAsia="zh-CN"/>
        </w:rPr>
        <w:t>1、强化督导检查，确保辖区各镇（街办、管理处）落实规范化建设</w:t>
      </w:r>
    </w:p>
    <w:p>
      <w:pPr>
        <w:rPr>
          <w:rFonts w:hint="default"/>
          <w:lang w:val="en-US" w:eastAsia="zh-CN"/>
        </w:rPr>
      </w:pPr>
      <w:r>
        <w:rPr>
          <w:rFonts w:hint="eastAsia"/>
          <w:lang w:val="en-US" w:eastAsia="zh-CN"/>
        </w:rPr>
        <w:t>东湖区市场监督管理局</w:t>
      </w:r>
      <w:r>
        <w:rPr>
          <w:rFonts w:hint="default"/>
          <w:lang w:val="en-US" w:eastAsia="zh-CN"/>
        </w:rPr>
        <w:t xml:space="preserve">牵头印发了《东湖区食品安全示范城市创建和食品安全办规范化建设督查方案》（东食安办字〔2020〕8号），由区局抽调两名人员和各属地分局负责人组成考核小组对各镇（街办、管理处）的食安城创建和食品安全办规范化建设进行实地查验、资料审核，共梳理问题100余个。根据督查结果印发了《东湖区食品安全示范城市创建和食品安全办规范化建设督查结果通报》。2020年12月4日，分管副区长召开专题调度会进行通报，对落实不力的镇（街办、管理处）进行了批评。通过督查考核，有效推动了食安城创建和食安办规范化建设的各项措施落地。 </w:t>
      </w:r>
    </w:p>
    <w:p>
      <w:pPr>
        <w:pStyle w:val="3"/>
        <w:spacing w:before="204" w:after="204"/>
        <w:rPr>
          <w:rFonts w:hint="eastAsia"/>
        </w:rPr>
      </w:pPr>
      <w:bookmarkStart w:id="59" w:name="_Toc24975"/>
      <w:r>
        <w:rPr>
          <w:rFonts w:hint="eastAsia"/>
        </w:rPr>
        <w:t>（二）存在的问题及原因分析</w:t>
      </w:r>
      <w:bookmarkEnd w:id="58"/>
      <w:bookmarkEnd w:id="59"/>
    </w:p>
    <w:p>
      <w:pPr>
        <w:pStyle w:val="4"/>
        <w:bidi w:val="0"/>
        <w:rPr>
          <w:rFonts w:hint="eastAsia"/>
          <w:lang w:val="en-US" w:eastAsia="zh-CN"/>
        </w:rPr>
      </w:pPr>
      <w:r>
        <w:rPr>
          <w:rFonts w:hint="eastAsia"/>
          <w:lang w:val="en-US" w:eastAsia="zh-CN"/>
        </w:rPr>
        <w:t>1、绩效指标设置有待完善</w:t>
      </w:r>
    </w:p>
    <w:p>
      <w:pPr>
        <w:bidi w:val="0"/>
        <w:rPr>
          <w:rFonts w:hint="default"/>
          <w:lang w:val="en-US" w:eastAsia="zh-CN"/>
        </w:rPr>
      </w:pPr>
      <w:r>
        <w:rPr>
          <w:rFonts w:hint="eastAsia" w:ascii="Times New Roman" w:eastAsia="宋体"/>
          <w:lang w:val="en-US" w:eastAsia="zh-CN"/>
        </w:rPr>
        <w:t>区市场监督管理局已将项目绩效目标细化分解为具体的指标，但指标值不可衡量，数量指标为“创食安城宣传任务完成率”和“信息员培训人数完成率”，宣传任务和培训人数均未明确，</w:t>
      </w:r>
      <w:r>
        <w:rPr>
          <w:rFonts w:hint="eastAsia"/>
          <w:lang w:val="en-US" w:eastAsia="zh-CN"/>
        </w:rPr>
        <w:t>绩效目标对工作开展的指导作用发挥有限。原因主要是食安城创建工作主要根据南昌市市场监督管理局通知后开展相关工作，年初工作任务难以确定。</w:t>
      </w:r>
    </w:p>
    <w:p>
      <w:pPr>
        <w:pStyle w:val="4"/>
        <w:bidi w:val="0"/>
        <w:rPr>
          <w:rFonts w:hint="eastAsia"/>
          <w:lang w:val="en-US" w:eastAsia="zh-CN"/>
        </w:rPr>
      </w:pPr>
      <w:bookmarkStart w:id="60" w:name="_Toc21987"/>
      <w:r>
        <w:rPr>
          <w:rFonts w:hint="eastAsia"/>
          <w:lang w:val="en-US" w:eastAsia="zh-CN"/>
        </w:rPr>
        <w:t>2、预算编制科学性有待增强</w:t>
      </w:r>
    </w:p>
    <w:p>
      <w:pPr>
        <w:rPr>
          <w:rFonts w:hint="eastAsia"/>
          <w:lang w:val="en-US" w:eastAsia="zh-CN"/>
        </w:rPr>
      </w:pPr>
      <w:r>
        <w:rPr>
          <w:rFonts w:hint="eastAsia"/>
          <w:lang w:val="en-US" w:eastAsia="zh-CN"/>
        </w:rPr>
        <w:t>项目预算主要结合以前年度资金使用情况编制，未经科学论证，例如水电费和宣传费用的实际使用金额均与预算安排金额相差较大（水电费预算安排13万元，实际使用25万元；宣传印刷费预算安排30万元，实际使用3.5万元），根据实施方案，需要对协管员等进行培训，项目预算并未安排培训费用，故预算编制科学性总体有待增强。</w:t>
      </w:r>
    </w:p>
    <w:p>
      <w:pPr>
        <w:pStyle w:val="4"/>
        <w:bidi w:val="0"/>
        <w:rPr>
          <w:rFonts w:hint="eastAsia"/>
          <w:lang w:val="en-US" w:eastAsia="zh-CN"/>
        </w:rPr>
      </w:pPr>
      <w:r>
        <w:rPr>
          <w:rFonts w:hint="eastAsia"/>
          <w:lang w:val="en-US" w:eastAsia="zh-CN"/>
        </w:rPr>
        <w:t>3、财务处理规范性有待提升</w:t>
      </w:r>
    </w:p>
    <w:p>
      <w:pPr>
        <w:rPr>
          <w:rFonts w:hint="default"/>
          <w:lang w:val="en-US" w:eastAsia="zh-CN"/>
        </w:rPr>
      </w:pPr>
      <w:r>
        <w:rPr>
          <w:rFonts w:hint="eastAsia"/>
          <w:lang w:val="en-US" w:eastAsia="zh-CN"/>
        </w:rPr>
        <w:t>南昌市东湖区市场监督管理局提供的辅助明细账中12月第8号凭证某职工差旅费3431元，经查原始凭证仅包含收款人为区市监局职工的财政资金支付凭证（支付金额360元），以及一张复印的差旅报销单（金额3791元，其中住宿费2220元、交通费480元和杂费480元均无相关票据，同时无出差事由佐证材料），未附情况说明。12月第20号记账摘要为陈湘差旅费，支付360元为两天出差补助费用，附有上述差旅报销单原件，以及差旅相关发票，财务处理规范性有待增强。原因主要是上述资金结算方式不同，故财务人员未将其放置在一起。</w:t>
      </w:r>
    </w:p>
    <w:p>
      <w:pPr>
        <w:pStyle w:val="4"/>
        <w:bidi w:val="0"/>
        <w:rPr>
          <w:rFonts w:hint="eastAsia"/>
          <w:lang w:val="en-US" w:eastAsia="zh-CN"/>
        </w:rPr>
      </w:pPr>
      <w:r>
        <w:rPr>
          <w:rFonts w:hint="eastAsia"/>
          <w:lang w:val="en-US" w:eastAsia="zh-CN"/>
        </w:rPr>
        <w:t>4、制度制定及执行有待加强</w:t>
      </w:r>
    </w:p>
    <w:p>
      <w:pPr>
        <w:rPr>
          <w:rFonts w:hint="default"/>
          <w:b/>
          <w:bCs/>
          <w:lang w:val="en-US" w:eastAsia="zh-CN"/>
        </w:rPr>
      </w:pPr>
      <w:r>
        <w:rPr>
          <w:rFonts w:hint="eastAsia"/>
          <w:b/>
          <w:bCs/>
          <w:lang w:val="en-US" w:eastAsia="zh-CN"/>
        </w:rPr>
        <w:t>①未针对</w:t>
      </w:r>
      <w:r>
        <w:rPr>
          <w:rFonts w:hint="default"/>
          <w:b/>
          <w:bCs/>
          <w:lang w:val="en-US" w:eastAsia="zh-CN"/>
        </w:rPr>
        <w:t>食安城建设项目</w:t>
      </w:r>
      <w:r>
        <w:rPr>
          <w:rFonts w:hint="eastAsia"/>
          <w:b/>
          <w:bCs/>
          <w:lang w:val="en-US" w:eastAsia="zh-CN"/>
        </w:rPr>
        <w:t>制定专项资金管理办法</w:t>
      </w:r>
    </w:p>
    <w:p>
      <w:pPr>
        <w:rPr>
          <w:rFonts w:hint="default"/>
          <w:lang w:val="en-US" w:eastAsia="zh-CN"/>
        </w:rPr>
      </w:pPr>
      <w:r>
        <w:rPr>
          <w:rFonts w:hint="default"/>
          <w:lang w:val="en-US" w:eastAsia="zh-CN"/>
        </w:rPr>
        <w:t>财务管理方面，未制定食安城建设项目专项资金管理办法，主要根据《南昌市东湖区市场监督管理局财务管理制度》和《南昌市东湖区市场监督管理局专项资金使用管理办法》进行管理，单位财务管理制度较为完善，有利于规范区市监局职工差旅、培训等各项开支，但从项目资金管理角度看财务管理制度不够完整，对食安城建设项目资金管理起到的作用较为局限。</w:t>
      </w:r>
    </w:p>
    <w:p>
      <w:pPr>
        <w:rPr>
          <w:rFonts w:hint="eastAsia"/>
          <w:b/>
          <w:bCs/>
          <w:lang w:val="en-US" w:eastAsia="zh-CN"/>
        </w:rPr>
      </w:pPr>
      <w:r>
        <w:rPr>
          <w:rFonts w:hint="eastAsia"/>
          <w:b/>
          <w:bCs/>
          <w:lang w:val="en-US" w:eastAsia="zh-CN"/>
        </w:rPr>
        <w:t>②业务管理制度执行有待加强</w:t>
      </w:r>
    </w:p>
    <w:p>
      <w:pPr>
        <w:bidi w:val="0"/>
        <w:rPr>
          <w:rFonts w:hint="default"/>
          <w:lang w:val="en-US" w:eastAsia="zh-CN"/>
        </w:rPr>
      </w:pPr>
      <w:r>
        <w:rPr>
          <w:rFonts w:hint="default"/>
          <w:lang w:val="en-US" w:eastAsia="zh-CN"/>
        </w:rPr>
        <w:t>《东湖区食品安全协管员、信息员管理办法》规定区食安办抽查各镇（街办、管理处）信息员考核不低于20%，实际区市场监督管理局仅对协管员进行了考核</w:t>
      </w:r>
      <w:r>
        <w:rPr>
          <w:rFonts w:hint="eastAsia"/>
          <w:lang w:val="en-US" w:eastAsia="zh-CN"/>
        </w:rPr>
        <w:t>，业务管理制度执行有待加强</w:t>
      </w:r>
      <w:r>
        <w:rPr>
          <w:rFonts w:hint="default"/>
          <w:lang w:val="en-US" w:eastAsia="zh-CN"/>
        </w:rPr>
        <w:t>。经了解，在食品安全办规范化建设督查时有对信息员工作情况进行检查，主要是抽看其工作日志。</w:t>
      </w:r>
    </w:p>
    <w:p>
      <w:pPr>
        <w:pStyle w:val="2"/>
        <w:rPr>
          <w:rFonts w:hint="eastAsia"/>
        </w:rPr>
      </w:pPr>
      <w:bookmarkStart w:id="61" w:name="_Toc12213"/>
      <w:r>
        <w:rPr>
          <w:rFonts w:hint="eastAsia"/>
        </w:rPr>
        <w:t>六、有关建议</w:t>
      </w:r>
      <w:bookmarkEnd w:id="60"/>
      <w:bookmarkEnd w:id="61"/>
    </w:p>
    <w:p>
      <w:pPr>
        <w:pStyle w:val="3"/>
        <w:bidi w:val="0"/>
        <w:rPr>
          <w:rFonts w:hint="eastAsia"/>
          <w:lang w:val="en-US" w:eastAsia="zh-CN"/>
        </w:rPr>
      </w:pPr>
      <w:bookmarkStart w:id="62" w:name="_Toc13443"/>
      <w:bookmarkStart w:id="63" w:name="_Toc28790"/>
      <w:r>
        <w:rPr>
          <w:rFonts w:hint="eastAsia"/>
          <w:lang w:eastAsia="zh-CN"/>
        </w:rPr>
        <w:t>（</w:t>
      </w:r>
      <w:r>
        <w:rPr>
          <w:rFonts w:hint="eastAsia"/>
          <w:lang w:val="en-US" w:eastAsia="zh-CN"/>
        </w:rPr>
        <w:t>一</w:t>
      </w:r>
      <w:r>
        <w:rPr>
          <w:rFonts w:hint="eastAsia"/>
          <w:lang w:eastAsia="zh-CN"/>
        </w:rPr>
        <w:t>）</w:t>
      </w:r>
      <w:r>
        <w:rPr>
          <w:rFonts w:hint="eastAsia"/>
          <w:lang w:val="en-US" w:eastAsia="zh-CN"/>
        </w:rPr>
        <w:t>提升指标设置能力</w:t>
      </w:r>
      <w:bookmarkEnd w:id="62"/>
    </w:p>
    <w:p>
      <w:pPr>
        <w:rPr>
          <w:rFonts w:hint="default"/>
          <w:lang w:val="en-US" w:eastAsia="zh-CN"/>
        </w:rPr>
      </w:pPr>
      <w:r>
        <w:rPr>
          <w:rFonts w:hint="eastAsia"/>
          <w:lang w:val="en-US" w:eastAsia="zh-CN"/>
        </w:rPr>
        <w:t>区市场监督管理局应当加强预算绩效管理相关知识学习，提升指标设置能力。《东湖区财政局关于开展2020年度区级项目预算绩效目标管理工作的通知》（东财绩[2019]3号）文件中项目绩效目标填报说明中也已明确“‘指标值’：指‘三级指标’所需要达到的一个具体值，以此来衡量该指标的实现程度，‘指标值’原则上要求用数据表示，如实在无法量化，可采用定性的分级分档形式表述”，区财政局也已组织多次预算绩效相关知识培训，区市场监督管理局应当加强文件学习，同时认真参与培训学习，掌握好预算绩效相关知识，提升指标设置能力，促使项目绩效目标对项目实施的指导作用得到有效发挥。</w:t>
      </w:r>
    </w:p>
    <w:p>
      <w:pPr>
        <w:pStyle w:val="3"/>
        <w:bidi w:val="0"/>
        <w:rPr>
          <w:rFonts w:hint="eastAsia"/>
          <w:lang w:val="en-US" w:eastAsia="zh-CN"/>
        </w:rPr>
      </w:pPr>
      <w:bookmarkStart w:id="64" w:name="_Toc15244"/>
      <w:r>
        <w:rPr>
          <w:rFonts w:hint="eastAsia"/>
          <w:lang w:val="en-US" w:eastAsia="zh-CN"/>
        </w:rPr>
        <w:t>（二）增强预算编制科学性</w:t>
      </w:r>
      <w:bookmarkEnd w:id="64"/>
    </w:p>
    <w:p>
      <w:pPr>
        <w:rPr>
          <w:rFonts w:hint="eastAsia"/>
          <w:lang w:val="en-US" w:eastAsia="zh-CN"/>
        </w:rPr>
      </w:pPr>
      <w:r>
        <w:rPr>
          <w:rFonts w:hint="eastAsia"/>
          <w:lang w:val="en-US" w:eastAsia="zh-CN"/>
        </w:rPr>
        <w:t>区市场监督管理局应当进一步加强预算管理意识，严格按照预算编制的相关制度和要求，进一步提高预算编制的科学性、合理性、严谨性和可控性。预算编制前根据年度内项目可预见的工作任务，确定单位年度预算目标，细化预算指标，科学合理编制项目预算，尽量缩小项目预算内容与实际开支内容的差异。</w:t>
      </w:r>
    </w:p>
    <w:p>
      <w:pPr>
        <w:pStyle w:val="3"/>
        <w:bidi w:val="0"/>
        <w:rPr>
          <w:rFonts w:hint="eastAsia"/>
          <w:lang w:val="en-US" w:eastAsia="zh-CN"/>
        </w:rPr>
      </w:pPr>
      <w:bookmarkStart w:id="65" w:name="_Toc31878"/>
      <w:r>
        <w:rPr>
          <w:rFonts w:hint="eastAsia"/>
          <w:lang w:val="en-US" w:eastAsia="zh-CN"/>
        </w:rPr>
        <w:t>（三）增强入账严谨性</w:t>
      </w:r>
      <w:bookmarkEnd w:id="65"/>
    </w:p>
    <w:p>
      <w:pPr>
        <w:rPr>
          <w:rFonts w:hint="default"/>
          <w:lang w:val="en-US" w:eastAsia="zh-CN"/>
        </w:rPr>
      </w:pPr>
      <w:r>
        <w:rPr>
          <w:rFonts w:hint="eastAsia"/>
          <w:lang w:val="en-US" w:eastAsia="zh-CN"/>
        </w:rPr>
        <w:t>《会计工作基础规范》第四十七条规定“各单位办理本规范第三十七条规定的事项，必须取得或者填制原始凭证，并及时送交会计机构”；第五十一条规定“除结帐和更正错误的记帐凭证可以不附原始凭证外，其他记帐凭证必须附有原始凭证。如果一张原始凭证涉及几张记帐凭证，可以把原始凭证附在一张主要的记帐凭证后面，并在其他记帐凭证上注明附有该原始凭证的记帐凭证的编号或者附原始凭证复印件”，故区市场监督管理局应当规范记账，增强入账严谨性。</w:t>
      </w:r>
    </w:p>
    <w:p>
      <w:pPr>
        <w:pStyle w:val="3"/>
        <w:bidi w:val="0"/>
        <w:rPr>
          <w:rFonts w:hint="default"/>
          <w:lang w:val="en-US" w:eastAsia="zh-CN"/>
        </w:rPr>
      </w:pPr>
      <w:bookmarkStart w:id="66" w:name="_Toc13315"/>
      <w:r>
        <w:rPr>
          <w:rFonts w:hint="eastAsia"/>
          <w:lang w:val="en-US" w:eastAsia="zh-CN"/>
        </w:rPr>
        <w:t>（四）完善管理制度并加强执行</w:t>
      </w:r>
      <w:bookmarkEnd w:id="66"/>
    </w:p>
    <w:p>
      <w:pPr>
        <w:bidi w:val="0"/>
        <w:rPr>
          <w:rFonts w:hint="eastAsia"/>
          <w:lang w:val="en-US" w:eastAsia="zh-CN"/>
        </w:rPr>
      </w:pPr>
      <w:r>
        <w:rPr>
          <w:rFonts w:hint="eastAsia"/>
          <w:lang w:val="en-US" w:eastAsia="zh-CN"/>
        </w:rPr>
        <w:t>区市场监督管理局应当制定食安城建设项目专项资金管理办法，明确项目资金使用范围，便于项目资金核算，一方面是有利于项目下一年度资金安排有更为科学的参考依据，另一方面能够较好的确保项目资金专款专用，避免资金使用范围不明确导致无法判断资金是否专款专用。</w:t>
      </w:r>
    </w:p>
    <w:p>
      <w:pPr>
        <w:bidi w:val="0"/>
        <w:rPr>
          <w:rFonts w:hint="default"/>
          <w:lang w:val="en-US" w:eastAsia="zh-CN"/>
        </w:rPr>
      </w:pPr>
      <w:r>
        <w:rPr>
          <w:rFonts w:hint="eastAsia"/>
          <w:lang w:val="en-US" w:eastAsia="zh-CN"/>
        </w:rPr>
        <w:t>同时针对已制定的制度，若无明显不合理或与实际工作开展情况不符的情况，应当严格执行，以促进项目工作保质保量完成。</w:t>
      </w:r>
    </w:p>
    <w:p>
      <w:pPr>
        <w:pStyle w:val="2"/>
        <w:rPr>
          <w:rFonts w:hint="eastAsia" w:eastAsia="黑体"/>
          <w:lang w:val="en-US" w:eastAsia="zh-CN"/>
        </w:rPr>
      </w:pPr>
      <w:bookmarkStart w:id="67" w:name="_Toc26688"/>
      <w:r>
        <w:rPr>
          <w:rFonts w:hint="eastAsia"/>
        </w:rPr>
        <w:t>七、其他需要说明的问题</w:t>
      </w:r>
      <w:bookmarkEnd w:id="63"/>
      <w:bookmarkEnd w:id="67"/>
    </w:p>
    <w:p>
      <w:pPr>
        <w:rPr>
          <w:rFonts w:hint="default"/>
          <w:lang w:val="en-US" w:eastAsia="zh-CN"/>
        </w:rPr>
      </w:pPr>
      <w:r>
        <w:rPr>
          <w:rFonts w:hint="eastAsia"/>
          <w:lang w:val="en-US" w:eastAsia="zh-CN"/>
        </w:rPr>
        <w:t>无。</w:t>
      </w:r>
    </w:p>
    <w:p>
      <w:pPr>
        <w:rPr>
          <w:rFonts w:hint="default"/>
          <w:lang w:val="en-US" w:eastAsia="zh-CN"/>
        </w:rPr>
      </w:pPr>
    </w:p>
    <w:sectPr>
      <w:pgSz w:w="11906" w:h="16838"/>
      <w:pgMar w:top="1928" w:right="1531" w:bottom="1701" w:left="1531" w:header="850" w:footer="992" w:gutter="0"/>
      <w:cols w:space="720" w:num="1"/>
      <w:docGrid w:type="lines" w:linePitch="408"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DejaVu Sans">
    <w:altName w:val="Times New Roman"/>
    <w:panose1 w:val="02020603050405020304"/>
    <w:charset w:val="00"/>
    <w:family w:val="roman"/>
    <w:pitch w:val="default"/>
    <w:sig w:usb0="00000000" w:usb1="00000000" w:usb2="00000008" w:usb3="00000000" w:csb0="000001FF" w:csb1="00000000"/>
  </w:font>
  <w:font w:name="仿宋">
    <w:panose1 w:val="02010609060101010101"/>
    <w:charset w:val="86"/>
    <w:family w:val="auto"/>
    <w:pitch w:val="default"/>
    <w:sig w:usb0="800002BF" w:usb1="38CF7CFA" w:usb2="00000016" w:usb3="00000000" w:csb0="00040001" w:csb1="00000000"/>
  </w:font>
  <w:font w:name="方正小标宋简体">
    <w:altName w:val="宋体"/>
    <w:panose1 w:val="00000000000000000000"/>
    <w:charset w:val="01"/>
    <w:family w:val="auto"/>
    <w:pitch w:val="default"/>
    <w:sig w:usb0="00000000" w:usb1="00000000" w:usb2="00000000"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jc w:val="center"/>
    </w:pPr>
  </w:p>
  <w:p>
    <w:pPr>
      <w:pStyle w:val="8"/>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8"/>
                            <w:ind w:firstLine="360"/>
                          </w:pPr>
                          <w:r>
                            <w:fldChar w:fldCharType="begin"/>
                          </w:r>
                          <w:r>
                            <w:instrText xml:space="preserve"> PAGE  \* MERGEFORMAT </w:instrText>
                          </w:r>
                          <w:r>
                            <w:fldChar w:fldCharType="separate"/>
                          </w:r>
                          <w:r>
                            <w:t>18</w:t>
                          </w:r>
                          <w:r>
                            <w:fldChar w:fldCharType="end"/>
                          </w:r>
                        </w:p>
                      </w:txbxContent>
                    </wps:txbx>
                    <wps:bodyPr vert="horz" wrap="none" lIns="0" tIns="0" rIns="0" bIns="0" anchor="t" upright="0">
                      <a:spAutoFit/>
                    </wps:bodyPr>
                  </wps:wsp>
                </a:graphicData>
              </a:graphic>
            </wp:anchor>
          </w:drawing>
        </mc:Choice>
        <mc:Fallback>
          <w:pict>
            <v:shape id="文本框 8"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M6pebnPAAAABQEAAA8AAAAAAAAAAQAgAAAA&#10;IgAAAGRycy9kb3ducmV2LnhtbFBLAQIUABQAAAAIAIdO4kB75i6z2wEAAL4DAAAOAAAAAAAAAAEA&#10;IAAAAB4BAABkcnMvZTJvRG9jLnhtbFBLBQYAAAAABgAGAFkBAABrBQAAAAA=&#10;">
              <v:fill on="f" focussize="0,0"/>
              <v:stroke on="f"/>
              <v:imagedata o:title=""/>
              <o:lock v:ext="edit" aspectratio="f"/>
              <v:textbox inset="0mm,0mm,0mm,0mm" style="mso-fit-shape-to-text:t;">
                <w:txbxContent>
                  <w:p>
                    <w:pPr>
                      <w:pStyle w:val="8"/>
                      <w:ind w:firstLine="360"/>
                    </w:pPr>
                    <w:r>
                      <w:fldChar w:fldCharType="begin"/>
                    </w:r>
                    <w:r>
                      <w:instrText xml:space="preserve"> PAGE  \* MERGEFORMAT </w:instrText>
                    </w:r>
                    <w:r>
                      <w:fldChar w:fldCharType="separate"/>
                    </w:r>
                    <w:r>
                      <w:t>18</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560"/>
      </w:pPr>
      <w:r>
        <w:separator/>
      </w:r>
    </w:p>
  </w:footnote>
  <w:footnote w:type="continuationSeparator" w:id="1">
    <w:p>
      <w:pPr>
        <w:spacing w:line="24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left" w:pos="3216"/>
      </w:tabs>
      <w:ind w:firstLine="360"/>
      <w:jc w:val="left"/>
    </w:pPr>
    <w:r>
      <w:rPr>
        <w:rFonts w:hint="eastAsia"/>
      </w:rPr>
      <w:tab/>
    </w:r>
  </w:p>
  <w:p>
    <w:pPr>
      <w:pStyle w:val="9"/>
      <w:tabs>
        <w:tab w:val="left" w:pos="3216"/>
      </w:tabs>
      <w:ind w:firstLine="360"/>
      <w:jc w:val="center"/>
    </w:pPr>
  </w:p>
  <w:p>
    <w:pPr>
      <w:pStyle w:val="9"/>
      <w:tabs>
        <w:tab w:val="left" w:pos="3216"/>
      </w:tabs>
      <w:ind w:firstLine="360"/>
      <w:jc w:val="center"/>
    </w:pPr>
  </w:p>
  <w:p>
    <w:pPr>
      <w:pStyle w:val="9"/>
      <w:tabs>
        <w:tab w:val="left" w:pos="3216"/>
      </w:tabs>
      <w:ind w:firstLine="0" w:firstLineChars="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left" w:pos="3216"/>
      </w:tabs>
      <w:ind w:firstLine="360"/>
      <w:jc w:val="center"/>
    </w:pPr>
  </w:p>
  <w:p>
    <w:pPr>
      <w:pStyle w:val="9"/>
      <w:tabs>
        <w:tab w:val="left" w:pos="3216"/>
      </w:tabs>
      <w:ind w:firstLine="360"/>
      <w:jc w:val="center"/>
    </w:pPr>
  </w:p>
  <w:p>
    <w:pPr>
      <w:pStyle w:val="9"/>
      <w:tabs>
        <w:tab w:val="left" w:pos="3216"/>
      </w:tabs>
      <w:ind w:firstLine="360"/>
      <w:jc w:val="center"/>
    </w:pPr>
  </w:p>
  <w:p>
    <w:pPr>
      <w:pStyle w:val="9"/>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left" w:pos="3216"/>
      </w:tabs>
      <w:ind w:firstLine="360"/>
      <w:jc w:val="left"/>
    </w:pPr>
    <w:r>
      <w:rPr>
        <w:rFonts w:hint="eastAsia"/>
      </w:rPr>
      <w:tab/>
    </w:r>
  </w:p>
  <w:p>
    <w:pPr>
      <w:pStyle w:val="9"/>
      <w:tabs>
        <w:tab w:val="left" w:pos="3216"/>
      </w:tabs>
      <w:ind w:firstLine="360"/>
      <w:jc w:val="center"/>
    </w:pPr>
  </w:p>
  <w:p>
    <w:pPr>
      <w:pStyle w:val="9"/>
      <w:tabs>
        <w:tab w:val="left" w:pos="3216"/>
      </w:tabs>
      <w:ind w:firstLine="360"/>
      <w:jc w:val="center"/>
    </w:pPr>
  </w:p>
  <w:p>
    <w:pPr>
      <w:pStyle w:val="9"/>
      <w:pBdr>
        <w:bottom w:val="single" w:color="auto" w:sz="4" w:space="1"/>
      </w:pBdr>
      <w:tabs>
        <w:tab w:val="left" w:pos="3216"/>
      </w:tabs>
      <w:ind w:firstLine="0" w:firstLineChars="0"/>
      <w:jc w:val="center"/>
    </w:pPr>
    <w:r>
      <w:rPr>
        <w:rFonts w:hint="eastAsia" w:ascii="Calibri"/>
        <w:lang w:val="en-US" w:eastAsia="zh-CN"/>
      </w:rPr>
      <w:t>东湖区市场监督管理局食安城建设项目</w:t>
    </w:r>
    <w:r>
      <w:rPr>
        <w:rFonts w:hint="eastAsia" w:ascii="Calibri"/>
      </w:rPr>
      <w:t>绩效评价报告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AC620CC"/>
    <w:multiLevelType w:val="singleLevel"/>
    <w:tmpl w:val="7AC620CC"/>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1A593B"/>
    <w:rsid w:val="0022380D"/>
    <w:rsid w:val="00490E80"/>
    <w:rsid w:val="00565A0D"/>
    <w:rsid w:val="006D59A7"/>
    <w:rsid w:val="00702062"/>
    <w:rsid w:val="00804082"/>
    <w:rsid w:val="00856A23"/>
    <w:rsid w:val="008A4E4A"/>
    <w:rsid w:val="00972C5C"/>
    <w:rsid w:val="009F4486"/>
    <w:rsid w:val="00D35697"/>
    <w:rsid w:val="00F33391"/>
    <w:rsid w:val="00F85084"/>
    <w:rsid w:val="00FA0320"/>
    <w:rsid w:val="00FE4D90"/>
    <w:rsid w:val="010D5867"/>
    <w:rsid w:val="012E5601"/>
    <w:rsid w:val="01CA16F8"/>
    <w:rsid w:val="01FC69C8"/>
    <w:rsid w:val="020F611E"/>
    <w:rsid w:val="02323AB7"/>
    <w:rsid w:val="025C5852"/>
    <w:rsid w:val="028B0D00"/>
    <w:rsid w:val="02C40BDB"/>
    <w:rsid w:val="03047F5F"/>
    <w:rsid w:val="037D61D1"/>
    <w:rsid w:val="038003B0"/>
    <w:rsid w:val="039432DF"/>
    <w:rsid w:val="03AD2C16"/>
    <w:rsid w:val="03ED06F8"/>
    <w:rsid w:val="03EE0EDE"/>
    <w:rsid w:val="03F60B4A"/>
    <w:rsid w:val="04046248"/>
    <w:rsid w:val="0443778C"/>
    <w:rsid w:val="04880397"/>
    <w:rsid w:val="048A47D9"/>
    <w:rsid w:val="04962B17"/>
    <w:rsid w:val="04C13529"/>
    <w:rsid w:val="04D2173C"/>
    <w:rsid w:val="04F35E90"/>
    <w:rsid w:val="04FF3546"/>
    <w:rsid w:val="05101A46"/>
    <w:rsid w:val="051A4BC8"/>
    <w:rsid w:val="057B5DF5"/>
    <w:rsid w:val="058829A4"/>
    <w:rsid w:val="05B0474F"/>
    <w:rsid w:val="05C3222F"/>
    <w:rsid w:val="05D24FD1"/>
    <w:rsid w:val="05F07A03"/>
    <w:rsid w:val="05F935EF"/>
    <w:rsid w:val="06483B0D"/>
    <w:rsid w:val="065E6D46"/>
    <w:rsid w:val="066F2F93"/>
    <w:rsid w:val="067E181F"/>
    <w:rsid w:val="069251E8"/>
    <w:rsid w:val="06E6791E"/>
    <w:rsid w:val="06FE1DC3"/>
    <w:rsid w:val="07053545"/>
    <w:rsid w:val="070C53AA"/>
    <w:rsid w:val="0713000E"/>
    <w:rsid w:val="07184DFA"/>
    <w:rsid w:val="078B01E2"/>
    <w:rsid w:val="079600EE"/>
    <w:rsid w:val="07D209C8"/>
    <w:rsid w:val="07FD6AAE"/>
    <w:rsid w:val="082813C2"/>
    <w:rsid w:val="0828223C"/>
    <w:rsid w:val="08317CCB"/>
    <w:rsid w:val="0851671C"/>
    <w:rsid w:val="08580387"/>
    <w:rsid w:val="089C6D00"/>
    <w:rsid w:val="08DC5EF9"/>
    <w:rsid w:val="08EC0E50"/>
    <w:rsid w:val="091C27B8"/>
    <w:rsid w:val="09555799"/>
    <w:rsid w:val="098622AC"/>
    <w:rsid w:val="09AC1BB2"/>
    <w:rsid w:val="09EA518D"/>
    <w:rsid w:val="0A4B5DAD"/>
    <w:rsid w:val="0A7224F6"/>
    <w:rsid w:val="0A7E77E8"/>
    <w:rsid w:val="0B375865"/>
    <w:rsid w:val="0B934EFC"/>
    <w:rsid w:val="0B945929"/>
    <w:rsid w:val="0BB75E59"/>
    <w:rsid w:val="0BD11A40"/>
    <w:rsid w:val="0BD4431A"/>
    <w:rsid w:val="0BEB58B8"/>
    <w:rsid w:val="0C062D0E"/>
    <w:rsid w:val="0C174177"/>
    <w:rsid w:val="0C326D81"/>
    <w:rsid w:val="0C596F40"/>
    <w:rsid w:val="0C727600"/>
    <w:rsid w:val="0C84130B"/>
    <w:rsid w:val="0C86133E"/>
    <w:rsid w:val="0C9A67ED"/>
    <w:rsid w:val="0CC93264"/>
    <w:rsid w:val="0CD05480"/>
    <w:rsid w:val="0D777D39"/>
    <w:rsid w:val="0D781D1D"/>
    <w:rsid w:val="0D896620"/>
    <w:rsid w:val="0DD507DE"/>
    <w:rsid w:val="0E097BAF"/>
    <w:rsid w:val="0E1816CB"/>
    <w:rsid w:val="0E2E552B"/>
    <w:rsid w:val="0E5A2BA6"/>
    <w:rsid w:val="0E7D0480"/>
    <w:rsid w:val="0ED43B60"/>
    <w:rsid w:val="0ED56FDD"/>
    <w:rsid w:val="0F651142"/>
    <w:rsid w:val="0F8779A6"/>
    <w:rsid w:val="0FA721EB"/>
    <w:rsid w:val="0FBC0705"/>
    <w:rsid w:val="0FCB363F"/>
    <w:rsid w:val="103751F7"/>
    <w:rsid w:val="10430944"/>
    <w:rsid w:val="10960249"/>
    <w:rsid w:val="10A64306"/>
    <w:rsid w:val="10AE2147"/>
    <w:rsid w:val="10B5243C"/>
    <w:rsid w:val="11087645"/>
    <w:rsid w:val="113F5F6F"/>
    <w:rsid w:val="11436C41"/>
    <w:rsid w:val="1173286D"/>
    <w:rsid w:val="11926C26"/>
    <w:rsid w:val="12305379"/>
    <w:rsid w:val="126A1780"/>
    <w:rsid w:val="128E7265"/>
    <w:rsid w:val="129C1B9F"/>
    <w:rsid w:val="12A15EC4"/>
    <w:rsid w:val="12B448C1"/>
    <w:rsid w:val="130C3C6B"/>
    <w:rsid w:val="131245E7"/>
    <w:rsid w:val="132C1B4C"/>
    <w:rsid w:val="133542D8"/>
    <w:rsid w:val="134E64EF"/>
    <w:rsid w:val="135C3795"/>
    <w:rsid w:val="13A72300"/>
    <w:rsid w:val="13D21B2D"/>
    <w:rsid w:val="13E92DD6"/>
    <w:rsid w:val="141178BF"/>
    <w:rsid w:val="142B00ED"/>
    <w:rsid w:val="14472F57"/>
    <w:rsid w:val="146327DC"/>
    <w:rsid w:val="146E46E2"/>
    <w:rsid w:val="14B07C85"/>
    <w:rsid w:val="14ED212F"/>
    <w:rsid w:val="14F42E3C"/>
    <w:rsid w:val="150E0817"/>
    <w:rsid w:val="153D0EB7"/>
    <w:rsid w:val="153D69DE"/>
    <w:rsid w:val="156F5C8C"/>
    <w:rsid w:val="15927163"/>
    <w:rsid w:val="15A3417E"/>
    <w:rsid w:val="16302337"/>
    <w:rsid w:val="164556AA"/>
    <w:rsid w:val="16935817"/>
    <w:rsid w:val="16B43061"/>
    <w:rsid w:val="16D6678E"/>
    <w:rsid w:val="16D908F6"/>
    <w:rsid w:val="1739268B"/>
    <w:rsid w:val="175225D5"/>
    <w:rsid w:val="17720ACA"/>
    <w:rsid w:val="179D3FCC"/>
    <w:rsid w:val="17C52CD6"/>
    <w:rsid w:val="17E21443"/>
    <w:rsid w:val="17F42E8B"/>
    <w:rsid w:val="186911B2"/>
    <w:rsid w:val="18A81C0B"/>
    <w:rsid w:val="18B353B6"/>
    <w:rsid w:val="18B72751"/>
    <w:rsid w:val="18DD2C01"/>
    <w:rsid w:val="18EB30DF"/>
    <w:rsid w:val="18EE68B7"/>
    <w:rsid w:val="192F6124"/>
    <w:rsid w:val="1939060F"/>
    <w:rsid w:val="19593C55"/>
    <w:rsid w:val="196304E0"/>
    <w:rsid w:val="196D7BA2"/>
    <w:rsid w:val="19D75177"/>
    <w:rsid w:val="19EF4912"/>
    <w:rsid w:val="19FD5E99"/>
    <w:rsid w:val="19FE1DA8"/>
    <w:rsid w:val="1A223ED0"/>
    <w:rsid w:val="1A3A3314"/>
    <w:rsid w:val="1A86421B"/>
    <w:rsid w:val="1A883042"/>
    <w:rsid w:val="1A8C3594"/>
    <w:rsid w:val="1AB859CB"/>
    <w:rsid w:val="1ACD273B"/>
    <w:rsid w:val="1AF507B6"/>
    <w:rsid w:val="1B0B04D3"/>
    <w:rsid w:val="1B4D7AF9"/>
    <w:rsid w:val="1B685FC3"/>
    <w:rsid w:val="1B7C0D11"/>
    <w:rsid w:val="1BD52ED2"/>
    <w:rsid w:val="1C351600"/>
    <w:rsid w:val="1C8C213B"/>
    <w:rsid w:val="1CB52007"/>
    <w:rsid w:val="1D12793E"/>
    <w:rsid w:val="1D1C3E8F"/>
    <w:rsid w:val="1D34626B"/>
    <w:rsid w:val="1D883330"/>
    <w:rsid w:val="1DA94580"/>
    <w:rsid w:val="1E1546F8"/>
    <w:rsid w:val="1E644794"/>
    <w:rsid w:val="1E712160"/>
    <w:rsid w:val="1EBF6847"/>
    <w:rsid w:val="1ECA0BC4"/>
    <w:rsid w:val="1EDF4331"/>
    <w:rsid w:val="1EE3318C"/>
    <w:rsid w:val="1F5F2E37"/>
    <w:rsid w:val="1F8B322C"/>
    <w:rsid w:val="1F96704C"/>
    <w:rsid w:val="1FD431BF"/>
    <w:rsid w:val="1FDA5FAB"/>
    <w:rsid w:val="1FFE2A9B"/>
    <w:rsid w:val="20044797"/>
    <w:rsid w:val="20A8687C"/>
    <w:rsid w:val="20A97666"/>
    <w:rsid w:val="20D35DCE"/>
    <w:rsid w:val="21081734"/>
    <w:rsid w:val="213269E7"/>
    <w:rsid w:val="21460499"/>
    <w:rsid w:val="21494752"/>
    <w:rsid w:val="218B5E18"/>
    <w:rsid w:val="21913E8B"/>
    <w:rsid w:val="21AA3719"/>
    <w:rsid w:val="21D53EA3"/>
    <w:rsid w:val="21DA5B8F"/>
    <w:rsid w:val="21F869C3"/>
    <w:rsid w:val="21FE4EFE"/>
    <w:rsid w:val="22454F80"/>
    <w:rsid w:val="225A61FE"/>
    <w:rsid w:val="225D349E"/>
    <w:rsid w:val="22F46C7B"/>
    <w:rsid w:val="23054676"/>
    <w:rsid w:val="235148F7"/>
    <w:rsid w:val="23525B4A"/>
    <w:rsid w:val="23814608"/>
    <w:rsid w:val="23826CC3"/>
    <w:rsid w:val="238910AE"/>
    <w:rsid w:val="23B96E12"/>
    <w:rsid w:val="2450025D"/>
    <w:rsid w:val="24575675"/>
    <w:rsid w:val="247029DC"/>
    <w:rsid w:val="24A436A6"/>
    <w:rsid w:val="24A83BCB"/>
    <w:rsid w:val="24D84524"/>
    <w:rsid w:val="24EB44A7"/>
    <w:rsid w:val="251D2244"/>
    <w:rsid w:val="25603EB1"/>
    <w:rsid w:val="256C6D1A"/>
    <w:rsid w:val="25A77F47"/>
    <w:rsid w:val="25DD5236"/>
    <w:rsid w:val="25FD2A04"/>
    <w:rsid w:val="278A6FEB"/>
    <w:rsid w:val="27D03683"/>
    <w:rsid w:val="27D66666"/>
    <w:rsid w:val="27E4456F"/>
    <w:rsid w:val="27E73F9D"/>
    <w:rsid w:val="27F9226B"/>
    <w:rsid w:val="28784433"/>
    <w:rsid w:val="28B536E8"/>
    <w:rsid w:val="28D330C2"/>
    <w:rsid w:val="28DC7EEE"/>
    <w:rsid w:val="29105084"/>
    <w:rsid w:val="296557B7"/>
    <w:rsid w:val="29CF5080"/>
    <w:rsid w:val="29FD0939"/>
    <w:rsid w:val="2A190838"/>
    <w:rsid w:val="2A5F7269"/>
    <w:rsid w:val="2A7147B4"/>
    <w:rsid w:val="2A79767F"/>
    <w:rsid w:val="2AB919C1"/>
    <w:rsid w:val="2B0D24B3"/>
    <w:rsid w:val="2B232B6C"/>
    <w:rsid w:val="2B3535B2"/>
    <w:rsid w:val="2B61551F"/>
    <w:rsid w:val="2B986715"/>
    <w:rsid w:val="2B9F2E40"/>
    <w:rsid w:val="2BB134AB"/>
    <w:rsid w:val="2BE102CC"/>
    <w:rsid w:val="2BEF6CD9"/>
    <w:rsid w:val="2C215D2E"/>
    <w:rsid w:val="2C2F61EE"/>
    <w:rsid w:val="2C672F5C"/>
    <w:rsid w:val="2C68720D"/>
    <w:rsid w:val="2C6A0635"/>
    <w:rsid w:val="2CB11B5E"/>
    <w:rsid w:val="2CC6008F"/>
    <w:rsid w:val="2CF35E79"/>
    <w:rsid w:val="2D0A3CA6"/>
    <w:rsid w:val="2D3720CB"/>
    <w:rsid w:val="2D533F3E"/>
    <w:rsid w:val="2D6E77F5"/>
    <w:rsid w:val="2D82525E"/>
    <w:rsid w:val="2DA9126E"/>
    <w:rsid w:val="2DAF28D2"/>
    <w:rsid w:val="2DBC1394"/>
    <w:rsid w:val="2DD13810"/>
    <w:rsid w:val="2DE10D6A"/>
    <w:rsid w:val="2DEB6A74"/>
    <w:rsid w:val="2DFD6545"/>
    <w:rsid w:val="2E0A55EB"/>
    <w:rsid w:val="2E3B4AA9"/>
    <w:rsid w:val="2EA4581B"/>
    <w:rsid w:val="2EAC1BFC"/>
    <w:rsid w:val="2ECE453B"/>
    <w:rsid w:val="2F2E327D"/>
    <w:rsid w:val="2F9B61D3"/>
    <w:rsid w:val="2FE81E9A"/>
    <w:rsid w:val="300A721B"/>
    <w:rsid w:val="305C36A3"/>
    <w:rsid w:val="30743D88"/>
    <w:rsid w:val="30754FC5"/>
    <w:rsid w:val="307E3467"/>
    <w:rsid w:val="307E7B43"/>
    <w:rsid w:val="308D0320"/>
    <w:rsid w:val="30B46E4E"/>
    <w:rsid w:val="30CF6D45"/>
    <w:rsid w:val="310066F9"/>
    <w:rsid w:val="31297AE3"/>
    <w:rsid w:val="313838E5"/>
    <w:rsid w:val="317631D5"/>
    <w:rsid w:val="3193056C"/>
    <w:rsid w:val="31F62C42"/>
    <w:rsid w:val="31FD2861"/>
    <w:rsid w:val="321D0BA1"/>
    <w:rsid w:val="322F7C0F"/>
    <w:rsid w:val="323B6DA5"/>
    <w:rsid w:val="329B2CC9"/>
    <w:rsid w:val="32A57E58"/>
    <w:rsid w:val="32E03D79"/>
    <w:rsid w:val="33195788"/>
    <w:rsid w:val="33254787"/>
    <w:rsid w:val="335C4A49"/>
    <w:rsid w:val="337B6420"/>
    <w:rsid w:val="3384134D"/>
    <w:rsid w:val="33D947A1"/>
    <w:rsid w:val="344F7473"/>
    <w:rsid w:val="345B027D"/>
    <w:rsid w:val="346309EA"/>
    <w:rsid w:val="34915F59"/>
    <w:rsid w:val="34BB3A52"/>
    <w:rsid w:val="34C25FBB"/>
    <w:rsid w:val="34C424C3"/>
    <w:rsid w:val="34D0595E"/>
    <w:rsid w:val="35002695"/>
    <w:rsid w:val="354B0869"/>
    <w:rsid w:val="354B6601"/>
    <w:rsid w:val="3561109E"/>
    <w:rsid w:val="357232FF"/>
    <w:rsid w:val="36443482"/>
    <w:rsid w:val="36523385"/>
    <w:rsid w:val="36904401"/>
    <w:rsid w:val="36957AA6"/>
    <w:rsid w:val="36A9382C"/>
    <w:rsid w:val="36B4451D"/>
    <w:rsid w:val="36B9151A"/>
    <w:rsid w:val="36BD5CFA"/>
    <w:rsid w:val="36DA6C5C"/>
    <w:rsid w:val="36ED2160"/>
    <w:rsid w:val="370A41D9"/>
    <w:rsid w:val="3713795C"/>
    <w:rsid w:val="373024E9"/>
    <w:rsid w:val="373D7372"/>
    <w:rsid w:val="374968C0"/>
    <w:rsid w:val="379A4FFF"/>
    <w:rsid w:val="37A51A75"/>
    <w:rsid w:val="37D629C4"/>
    <w:rsid w:val="381344A5"/>
    <w:rsid w:val="38162DE3"/>
    <w:rsid w:val="38261C8F"/>
    <w:rsid w:val="38294EFA"/>
    <w:rsid w:val="382C43B3"/>
    <w:rsid w:val="385E0EC3"/>
    <w:rsid w:val="38717226"/>
    <w:rsid w:val="38A17AEF"/>
    <w:rsid w:val="38BB4506"/>
    <w:rsid w:val="38C159B4"/>
    <w:rsid w:val="38D76D03"/>
    <w:rsid w:val="38FD0375"/>
    <w:rsid w:val="391A48E9"/>
    <w:rsid w:val="39242361"/>
    <w:rsid w:val="392E2CD5"/>
    <w:rsid w:val="39993EAE"/>
    <w:rsid w:val="399D5F4E"/>
    <w:rsid w:val="399E023D"/>
    <w:rsid w:val="39AA2344"/>
    <w:rsid w:val="39B06C6C"/>
    <w:rsid w:val="39C3401C"/>
    <w:rsid w:val="39C714E3"/>
    <w:rsid w:val="39CF3158"/>
    <w:rsid w:val="3A246B12"/>
    <w:rsid w:val="3A3138D2"/>
    <w:rsid w:val="3A5E669E"/>
    <w:rsid w:val="3AA41C67"/>
    <w:rsid w:val="3B2E3506"/>
    <w:rsid w:val="3B472947"/>
    <w:rsid w:val="3B712F0C"/>
    <w:rsid w:val="3B847074"/>
    <w:rsid w:val="3C503BD5"/>
    <w:rsid w:val="3C572A8D"/>
    <w:rsid w:val="3C7664B4"/>
    <w:rsid w:val="3C861FCE"/>
    <w:rsid w:val="3C9866D4"/>
    <w:rsid w:val="3C9C6698"/>
    <w:rsid w:val="3CA433D5"/>
    <w:rsid w:val="3D2231CC"/>
    <w:rsid w:val="3D6C7BDC"/>
    <w:rsid w:val="3D974407"/>
    <w:rsid w:val="3DAE2E7E"/>
    <w:rsid w:val="3DC84100"/>
    <w:rsid w:val="3DD85184"/>
    <w:rsid w:val="3DFA244C"/>
    <w:rsid w:val="3E077F44"/>
    <w:rsid w:val="3E2625F4"/>
    <w:rsid w:val="3E762119"/>
    <w:rsid w:val="3E763E82"/>
    <w:rsid w:val="3E771621"/>
    <w:rsid w:val="3EA8298F"/>
    <w:rsid w:val="3EB743C4"/>
    <w:rsid w:val="3EEB0DA3"/>
    <w:rsid w:val="3F3B5C20"/>
    <w:rsid w:val="3F447787"/>
    <w:rsid w:val="3F801DE6"/>
    <w:rsid w:val="3F886DC3"/>
    <w:rsid w:val="3FB71AC9"/>
    <w:rsid w:val="3FE81301"/>
    <w:rsid w:val="407749F0"/>
    <w:rsid w:val="40BA4E4A"/>
    <w:rsid w:val="40C01894"/>
    <w:rsid w:val="40C06AE4"/>
    <w:rsid w:val="40DE6BE3"/>
    <w:rsid w:val="40E40A8A"/>
    <w:rsid w:val="40FA690B"/>
    <w:rsid w:val="41083DAE"/>
    <w:rsid w:val="41132C59"/>
    <w:rsid w:val="411616B8"/>
    <w:rsid w:val="412F57F4"/>
    <w:rsid w:val="41511342"/>
    <w:rsid w:val="419078E6"/>
    <w:rsid w:val="41EC585F"/>
    <w:rsid w:val="420100CB"/>
    <w:rsid w:val="420A20F7"/>
    <w:rsid w:val="421F5FE2"/>
    <w:rsid w:val="422D156A"/>
    <w:rsid w:val="42810DF3"/>
    <w:rsid w:val="428132F6"/>
    <w:rsid w:val="42A01C4A"/>
    <w:rsid w:val="42A42EF9"/>
    <w:rsid w:val="42C26811"/>
    <w:rsid w:val="42C97FC2"/>
    <w:rsid w:val="42D75A0A"/>
    <w:rsid w:val="42DA522F"/>
    <w:rsid w:val="42DA6B43"/>
    <w:rsid w:val="432F7529"/>
    <w:rsid w:val="43636E4E"/>
    <w:rsid w:val="436E0F71"/>
    <w:rsid w:val="439466F2"/>
    <w:rsid w:val="43C266E8"/>
    <w:rsid w:val="43EB697D"/>
    <w:rsid w:val="43F730DA"/>
    <w:rsid w:val="43F77E73"/>
    <w:rsid w:val="44136CEA"/>
    <w:rsid w:val="44284341"/>
    <w:rsid w:val="443A4A6B"/>
    <w:rsid w:val="445D37FA"/>
    <w:rsid w:val="447076D4"/>
    <w:rsid w:val="4477396C"/>
    <w:rsid w:val="44B159C6"/>
    <w:rsid w:val="44BF25F1"/>
    <w:rsid w:val="44DB4FA0"/>
    <w:rsid w:val="44F433C5"/>
    <w:rsid w:val="4500183A"/>
    <w:rsid w:val="45C2003E"/>
    <w:rsid w:val="45C5081E"/>
    <w:rsid w:val="46455D3F"/>
    <w:rsid w:val="46573283"/>
    <w:rsid w:val="46CE579A"/>
    <w:rsid w:val="46D32DA4"/>
    <w:rsid w:val="47032A1E"/>
    <w:rsid w:val="470425A0"/>
    <w:rsid w:val="47364C81"/>
    <w:rsid w:val="474F3003"/>
    <w:rsid w:val="474F76B3"/>
    <w:rsid w:val="477C2094"/>
    <w:rsid w:val="47947D99"/>
    <w:rsid w:val="479E0B3F"/>
    <w:rsid w:val="47A86E85"/>
    <w:rsid w:val="47B95770"/>
    <w:rsid w:val="480E0B1A"/>
    <w:rsid w:val="48443062"/>
    <w:rsid w:val="48575544"/>
    <w:rsid w:val="487359F9"/>
    <w:rsid w:val="489C3949"/>
    <w:rsid w:val="48C81ACA"/>
    <w:rsid w:val="48FD1276"/>
    <w:rsid w:val="4931555C"/>
    <w:rsid w:val="49974C11"/>
    <w:rsid w:val="49C448E2"/>
    <w:rsid w:val="49C5059C"/>
    <w:rsid w:val="49E50706"/>
    <w:rsid w:val="4A1F0351"/>
    <w:rsid w:val="4A2952B3"/>
    <w:rsid w:val="4A38554C"/>
    <w:rsid w:val="4A3B6F59"/>
    <w:rsid w:val="4A5632DE"/>
    <w:rsid w:val="4AB035D0"/>
    <w:rsid w:val="4AB76E6A"/>
    <w:rsid w:val="4AF52C0D"/>
    <w:rsid w:val="4B372ACB"/>
    <w:rsid w:val="4B434576"/>
    <w:rsid w:val="4B442CC4"/>
    <w:rsid w:val="4B4737FF"/>
    <w:rsid w:val="4B910C6B"/>
    <w:rsid w:val="4BAB7037"/>
    <w:rsid w:val="4BE23957"/>
    <w:rsid w:val="4C783F2E"/>
    <w:rsid w:val="4CB611B5"/>
    <w:rsid w:val="4CBC35C3"/>
    <w:rsid w:val="4D2001AF"/>
    <w:rsid w:val="4D443E62"/>
    <w:rsid w:val="4D483A50"/>
    <w:rsid w:val="4DAB0DC5"/>
    <w:rsid w:val="4DAF18D6"/>
    <w:rsid w:val="4DD005E3"/>
    <w:rsid w:val="4DD86C49"/>
    <w:rsid w:val="4DE43F26"/>
    <w:rsid w:val="4DF85CA1"/>
    <w:rsid w:val="4E031316"/>
    <w:rsid w:val="4E170ADE"/>
    <w:rsid w:val="4E1C2B74"/>
    <w:rsid w:val="4E384044"/>
    <w:rsid w:val="4E4565A2"/>
    <w:rsid w:val="4E697B40"/>
    <w:rsid w:val="4E7C5BB8"/>
    <w:rsid w:val="4E921631"/>
    <w:rsid w:val="4EAC5D6C"/>
    <w:rsid w:val="4EAD6C88"/>
    <w:rsid w:val="4EB82AF3"/>
    <w:rsid w:val="4EBC6682"/>
    <w:rsid w:val="4EDD27DB"/>
    <w:rsid w:val="4EE952F6"/>
    <w:rsid w:val="4EFB7AED"/>
    <w:rsid w:val="4F1629D3"/>
    <w:rsid w:val="4F6B32A4"/>
    <w:rsid w:val="4F9E1CDD"/>
    <w:rsid w:val="4FD14548"/>
    <w:rsid w:val="50096983"/>
    <w:rsid w:val="5016730D"/>
    <w:rsid w:val="503B16C8"/>
    <w:rsid w:val="50413032"/>
    <w:rsid w:val="50CD314F"/>
    <w:rsid w:val="50CE2AF5"/>
    <w:rsid w:val="50FE7BB8"/>
    <w:rsid w:val="51614337"/>
    <w:rsid w:val="51746387"/>
    <w:rsid w:val="51797E8C"/>
    <w:rsid w:val="517C792D"/>
    <w:rsid w:val="518329FC"/>
    <w:rsid w:val="519B1D29"/>
    <w:rsid w:val="51B1576C"/>
    <w:rsid w:val="51BB199D"/>
    <w:rsid w:val="521E1AC9"/>
    <w:rsid w:val="52787233"/>
    <w:rsid w:val="527C09FE"/>
    <w:rsid w:val="528D6C7D"/>
    <w:rsid w:val="52A113FA"/>
    <w:rsid w:val="52C31BBA"/>
    <w:rsid w:val="52D12562"/>
    <w:rsid w:val="52DC65A3"/>
    <w:rsid w:val="533F37F6"/>
    <w:rsid w:val="5353224D"/>
    <w:rsid w:val="5363755A"/>
    <w:rsid w:val="537E6AED"/>
    <w:rsid w:val="53A10BBF"/>
    <w:rsid w:val="543C7690"/>
    <w:rsid w:val="54417996"/>
    <w:rsid w:val="54ED76E4"/>
    <w:rsid w:val="550B4CB7"/>
    <w:rsid w:val="553F4B73"/>
    <w:rsid w:val="55827DC8"/>
    <w:rsid w:val="55941DEE"/>
    <w:rsid w:val="55A001CA"/>
    <w:rsid w:val="55B07D12"/>
    <w:rsid w:val="55EF3B2D"/>
    <w:rsid w:val="5617715A"/>
    <w:rsid w:val="563048EC"/>
    <w:rsid w:val="564C7E6E"/>
    <w:rsid w:val="567E71B7"/>
    <w:rsid w:val="56864126"/>
    <w:rsid w:val="568B671B"/>
    <w:rsid w:val="569F2C51"/>
    <w:rsid w:val="56B04C57"/>
    <w:rsid w:val="56B06451"/>
    <w:rsid w:val="56CA2C70"/>
    <w:rsid w:val="56D12A90"/>
    <w:rsid w:val="56FB59B6"/>
    <w:rsid w:val="571C5EBE"/>
    <w:rsid w:val="5736171F"/>
    <w:rsid w:val="578134F3"/>
    <w:rsid w:val="57BB18DF"/>
    <w:rsid w:val="57F8278E"/>
    <w:rsid w:val="57FD0F8A"/>
    <w:rsid w:val="58224C41"/>
    <w:rsid w:val="58347B3D"/>
    <w:rsid w:val="5847090E"/>
    <w:rsid w:val="584A19FA"/>
    <w:rsid w:val="585E6F48"/>
    <w:rsid w:val="588D62AA"/>
    <w:rsid w:val="591178AB"/>
    <w:rsid w:val="59432861"/>
    <w:rsid w:val="5967494F"/>
    <w:rsid w:val="596762F4"/>
    <w:rsid w:val="59E2554F"/>
    <w:rsid w:val="5A42017C"/>
    <w:rsid w:val="5A49331C"/>
    <w:rsid w:val="5A8C7C57"/>
    <w:rsid w:val="5A904C9B"/>
    <w:rsid w:val="5A9C6133"/>
    <w:rsid w:val="5AE22B8C"/>
    <w:rsid w:val="5B07330A"/>
    <w:rsid w:val="5B1A4832"/>
    <w:rsid w:val="5BCC5CC5"/>
    <w:rsid w:val="5BE23AD3"/>
    <w:rsid w:val="5C191B8F"/>
    <w:rsid w:val="5C390E4D"/>
    <w:rsid w:val="5C416466"/>
    <w:rsid w:val="5C552D4A"/>
    <w:rsid w:val="5C7A176E"/>
    <w:rsid w:val="5CA602AE"/>
    <w:rsid w:val="5CB56065"/>
    <w:rsid w:val="5CBD67F0"/>
    <w:rsid w:val="5CF36B85"/>
    <w:rsid w:val="5D061F08"/>
    <w:rsid w:val="5D313AA6"/>
    <w:rsid w:val="5DFA3CF6"/>
    <w:rsid w:val="5E3830C1"/>
    <w:rsid w:val="5E4A34A6"/>
    <w:rsid w:val="5E4B3E9B"/>
    <w:rsid w:val="5E505EC2"/>
    <w:rsid w:val="5E6555FA"/>
    <w:rsid w:val="5E7444DA"/>
    <w:rsid w:val="5E884935"/>
    <w:rsid w:val="5EC503BA"/>
    <w:rsid w:val="5EDD0495"/>
    <w:rsid w:val="5EF73612"/>
    <w:rsid w:val="5F876DC3"/>
    <w:rsid w:val="5F8D1EC4"/>
    <w:rsid w:val="5F983CFC"/>
    <w:rsid w:val="60057A18"/>
    <w:rsid w:val="6018148F"/>
    <w:rsid w:val="606E09D8"/>
    <w:rsid w:val="6076247B"/>
    <w:rsid w:val="60FC1B85"/>
    <w:rsid w:val="612F5AF6"/>
    <w:rsid w:val="615F2707"/>
    <w:rsid w:val="61A61EE8"/>
    <w:rsid w:val="61E8746E"/>
    <w:rsid w:val="61F84A78"/>
    <w:rsid w:val="61F86185"/>
    <w:rsid w:val="62404985"/>
    <w:rsid w:val="62744E2C"/>
    <w:rsid w:val="62903E6C"/>
    <w:rsid w:val="629F0255"/>
    <w:rsid w:val="62D963F8"/>
    <w:rsid w:val="62F86943"/>
    <w:rsid w:val="637213E3"/>
    <w:rsid w:val="63A3481F"/>
    <w:rsid w:val="63A940CB"/>
    <w:rsid w:val="63EE54FD"/>
    <w:rsid w:val="64625CD3"/>
    <w:rsid w:val="64812748"/>
    <w:rsid w:val="648A756B"/>
    <w:rsid w:val="6494083C"/>
    <w:rsid w:val="64A7727B"/>
    <w:rsid w:val="64C05B46"/>
    <w:rsid w:val="64CB7581"/>
    <w:rsid w:val="64D93FD0"/>
    <w:rsid w:val="64F0316F"/>
    <w:rsid w:val="6539519E"/>
    <w:rsid w:val="653C6E80"/>
    <w:rsid w:val="65446F92"/>
    <w:rsid w:val="654F622F"/>
    <w:rsid w:val="65AB6A84"/>
    <w:rsid w:val="65B978B1"/>
    <w:rsid w:val="65CE2AC5"/>
    <w:rsid w:val="65F119CA"/>
    <w:rsid w:val="65FB0C94"/>
    <w:rsid w:val="662043B1"/>
    <w:rsid w:val="66281136"/>
    <w:rsid w:val="665A3FFE"/>
    <w:rsid w:val="66804823"/>
    <w:rsid w:val="66B22811"/>
    <w:rsid w:val="66B455EB"/>
    <w:rsid w:val="66E1512B"/>
    <w:rsid w:val="67845028"/>
    <w:rsid w:val="67B22AFA"/>
    <w:rsid w:val="67BD6434"/>
    <w:rsid w:val="680750A8"/>
    <w:rsid w:val="68197BCC"/>
    <w:rsid w:val="683B25FB"/>
    <w:rsid w:val="683F0B69"/>
    <w:rsid w:val="684D0814"/>
    <w:rsid w:val="687E0EBD"/>
    <w:rsid w:val="68921377"/>
    <w:rsid w:val="69116CD8"/>
    <w:rsid w:val="6916116C"/>
    <w:rsid w:val="69317644"/>
    <w:rsid w:val="69753107"/>
    <w:rsid w:val="69A32B47"/>
    <w:rsid w:val="69A90245"/>
    <w:rsid w:val="69B82503"/>
    <w:rsid w:val="69C367AC"/>
    <w:rsid w:val="69E16B44"/>
    <w:rsid w:val="6A30168D"/>
    <w:rsid w:val="6A4C28BE"/>
    <w:rsid w:val="6A8E424A"/>
    <w:rsid w:val="6A9B6C19"/>
    <w:rsid w:val="6A9D08B9"/>
    <w:rsid w:val="6AA12280"/>
    <w:rsid w:val="6AC13BEB"/>
    <w:rsid w:val="6AD206C4"/>
    <w:rsid w:val="6AFF6F01"/>
    <w:rsid w:val="6B06441C"/>
    <w:rsid w:val="6B550C0D"/>
    <w:rsid w:val="6B963183"/>
    <w:rsid w:val="6BDF422F"/>
    <w:rsid w:val="6BEE4A5F"/>
    <w:rsid w:val="6BFE6B53"/>
    <w:rsid w:val="6C1C3F5F"/>
    <w:rsid w:val="6C7657BB"/>
    <w:rsid w:val="6C7C15FD"/>
    <w:rsid w:val="6CC35C9A"/>
    <w:rsid w:val="6CDA5646"/>
    <w:rsid w:val="6CF15AD1"/>
    <w:rsid w:val="6D144525"/>
    <w:rsid w:val="6D3A10EC"/>
    <w:rsid w:val="6D3F2832"/>
    <w:rsid w:val="6D46783C"/>
    <w:rsid w:val="6D5F487D"/>
    <w:rsid w:val="6D904C91"/>
    <w:rsid w:val="6D9D1F2B"/>
    <w:rsid w:val="6DD215FA"/>
    <w:rsid w:val="6E3D07CF"/>
    <w:rsid w:val="6E70281A"/>
    <w:rsid w:val="6E9400FF"/>
    <w:rsid w:val="6EA94F76"/>
    <w:rsid w:val="6F2C6300"/>
    <w:rsid w:val="6F476511"/>
    <w:rsid w:val="6F847B92"/>
    <w:rsid w:val="6F886EEA"/>
    <w:rsid w:val="6FAA5CBA"/>
    <w:rsid w:val="6FDA1D33"/>
    <w:rsid w:val="6FE97543"/>
    <w:rsid w:val="70327608"/>
    <w:rsid w:val="7094547B"/>
    <w:rsid w:val="70BF7592"/>
    <w:rsid w:val="70D434B8"/>
    <w:rsid w:val="70E04B3B"/>
    <w:rsid w:val="70E41F7E"/>
    <w:rsid w:val="70FE79FF"/>
    <w:rsid w:val="712C6777"/>
    <w:rsid w:val="7132201B"/>
    <w:rsid w:val="71586EFC"/>
    <w:rsid w:val="717A14C4"/>
    <w:rsid w:val="71B327A7"/>
    <w:rsid w:val="71BD5B09"/>
    <w:rsid w:val="72104263"/>
    <w:rsid w:val="72110825"/>
    <w:rsid w:val="72152515"/>
    <w:rsid w:val="72176F74"/>
    <w:rsid w:val="725647F7"/>
    <w:rsid w:val="726E05DE"/>
    <w:rsid w:val="72973B66"/>
    <w:rsid w:val="72FE67B0"/>
    <w:rsid w:val="73007244"/>
    <w:rsid w:val="730B06DD"/>
    <w:rsid w:val="732C7C3B"/>
    <w:rsid w:val="7354144D"/>
    <w:rsid w:val="737C3F52"/>
    <w:rsid w:val="73E86263"/>
    <w:rsid w:val="743C562B"/>
    <w:rsid w:val="747F0691"/>
    <w:rsid w:val="74A30595"/>
    <w:rsid w:val="74C41D07"/>
    <w:rsid w:val="74DB6768"/>
    <w:rsid w:val="74E74006"/>
    <w:rsid w:val="75397DB8"/>
    <w:rsid w:val="75476D2B"/>
    <w:rsid w:val="754E74F2"/>
    <w:rsid w:val="755A0D03"/>
    <w:rsid w:val="75716E9D"/>
    <w:rsid w:val="75B17B63"/>
    <w:rsid w:val="75C2737B"/>
    <w:rsid w:val="75C51F45"/>
    <w:rsid w:val="75E02AB2"/>
    <w:rsid w:val="76BD355E"/>
    <w:rsid w:val="76DE2973"/>
    <w:rsid w:val="7705577F"/>
    <w:rsid w:val="772F27E9"/>
    <w:rsid w:val="774C6B42"/>
    <w:rsid w:val="776210E8"/>
    <w:rsid w:val="77BF189B"/>
    <w:rsid w:val="77FA0B16"/>
    <w:rsid w:val="78023C25"/>
    <w:rsid w:val="78063B4D"/>
    <w:rsid w:val="780C221E"/>
    <w:rsid w:val="78143789"/>
    <w:rsid w:val="78235CC5"/>
    <w:rsid w:val="78455CE7"/>
    <w:rsid w:val="786559B4"/>
    <w:rsid w:val="78793ABC"/>
    <w:rsid w:val="78C37022"/>
    <w:rsid w:val="78EF3C6D"/>
    <w:rsid w:val="79071E39"/>
    <w:rsid w:val="791D5D2E"/>
    <w:rsid w:val="794B6282"/>
    <w:rsid w:val="79506DA9"/>
    <w:rsid w:val="79605C47"/>
    <w:rsid w:val="797C09EF"/>
    <w:rsid w:val="79802E7F"/>
    <w:rsid w:val="79912D22"/>
    <w:rsid w:val="79F13B60"/>
    <w:rsid w:val="7A013361"/>
    <w:rsid w:val="7A553F75"/>
    <w:rsid w:val="7A5965C4"/>
    <w:rsid w:val="7A8A28DD"/>
    <w:rsid w:val="7A91224A"/>
    <w:rsid w:val="7A927709"/>
    <w:rsid w:val="7AD7258E"/>
    <w:rsid w:val="7B1B6F14"/>
    <w:rsid w:val="7B2142C3"/>
    <w:rsid w:val="7B4721BF"/>
    <w:rsid w:val="7B6948BF"/>
    <w:rsid w:val="7BB9587A"/>
    <w:rsid w:val="7BED5934"/>
    <w:rsid w:val="7C0D7511"/>
    <w:rsid w:val="7C4F1FD9"/>
    <w:rsid w:val="7C7A5E58"/>
    <w:rsid w:val="7C833AAB"/>
    <w:rsid w:val="7CBA40CA"/>
    <w:rsid w:val="7CE109A1"/>
    <w:rsid w:val="7D3D1333"/>
    <w:rsid w:val="7D4A702C"/>
    <w:rsid w:val="7D4A7CA1"/>
    <w:rsid w:val="7D4D0E64"/>
    <w:rsid w:val="7D7D623B"/>
    <w:rsid w:val="7D964300"/>
    <w:rsid w:val="7DB967D4"/>
    <w:rsid w:val="7DE824ED"/>
    <w:rsid w:val="7E6B72E2"/>
    <w:rsid w:val="7EBB1D7B"/>
    <w:rsid w:val="7EC54F0F"/>
    <w:rsid w:val="7EDF4A96"/>
    <w:rsid w:val="7EE7015E"/>
    <w:rsid w:val="7EF01078"/>
    <w:rsid w:val="7F0E15D5"/>
    <w:rsid w:val="7F536122"/>
    <w:rsid w:val="7FAD5E78"/>
    <w:rsid w:val="7FBA5A81"/>
    <w:rsid w:val="7FBE068F"/>
    <w:rsid w:val="7FD95E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562" w:firstLineChars="200"/>
      <w:jc w:val="both"/>
    </w:pPr>
    <w:rPr>
      <w:rFonts w:ascii="Times New Roman" w:hAnsi="Times New Roman" w:eastAsia="宋体" w:cs="Times New Roman"/>
      <w:kern w:val="2"/>
      <w:sz w:val="28"/>
      <w:szCs w:val="24"/>
      <w:lang w:val="en-US" w:eastAsia="zh-CN" w:bidi="ar-SA"/>
    </w:rPr>
  </w:style>
  <w:style w:type="paragraph" w:styleId="2">
    <w:name w:val="heading 1"/>
    <w:basedOn w:val="1"/>
    <w:next w:val="1"/>
    <w:link w:val="18"/>
    <w:qFormat/>
    <w:uiPriority w:val="0"/>
    <w:pPr>
      <w:keepNext/>
      <w:keepLines/>
      <w:spacing w:before="240" w:after="240"/>
      <w:ind w:firstLine="0" w:firstLineChars="0"/>
      <w:jc w:val="left"/>
      <w:outlineLvl w:val="0"/>
    </w:pPr>
    <w:rPr>
      <w:rFonts w:eastAsia="黑体"/>
      <w:b/>
      <w:bCs/>
      <w:kern w:val="44"/>
      <w:sz w:val="36"/>
      <w:szCs w:val="44"/>
    </w:rPr>
  </w:style>
  <w:style w:type="paragraph" w:styleId="3">
    <w:name w:val="heading 2"/>
    <w:basedOn w:val="1"/>
    <w:next w:val="1"/>
    <w:link w:val="16"/>
    <w:unhideWhenUsed/>
    <w:qFormat/>
    <w:uiPriority w:val="0"/>
    <w:pPr>
      <w:keepNext/>
      <w:keepLines/>
      <w:spacing w:beforeLines="50" w:afterLines="50"/>
      <w:ind w:firstLine="0" w:firstLineChars="0"/>
      <w:jc w:val="left"/>
      <w:outlineLvl w:val="1"/>
    </w:pPr>
    <w:rPr>
      <w:rFonts w:ascii="仿宋" w:hAnsi="仿宋"/>
      <w:b/>
      <w:bCs/>
      <w:sz w:val="32"/>
      <w:szCs w:val="32"/>
    </w:rPr>
  </w:style>
  <w:style w:type="paragraph" w:styleId="4">
    <w:name w:val="heading 3"/>
    <w:basedOn w:val="1"/>
    <w:next w:val="1"/>
    <w:link w:val="17"/>
    <w:unhideWhenUsed/>
    <w:qFormat/>
    <w:uiPriority w:val="0"/>
    <w:pPr>
      <w:keepNext/>
      <w:keepLines/>
      <w:spacing w:before="120" w:after="120"/>
      <w:jc w:val="left"/>
      <w:outlineLvl w:val="2"/>
    </w:pPr>
    <w:rPr>
      <w:b/>
      <w:bCs/>
      <w:szCs w:val="32"/>
    </w:rPr>
  </w:style>
  <w:style w:type="paragraph" w:styleId="5">
    <w:name w:val="heading 4"/>
    <w:basedOn w:val="1"/>
    <w:next w:val="1"/>
    <w:unhideWhenUsed/>
    <w:qFormat/>
    <w:uiPriority w:val="0"/>
    <w:pPr>
      <w:keepNext/>
      <w:keepLines/>
      <w:spacing w:beforeLines="0" w:beforeAutospacing="0" w:afterLines="0" w:afterAutospacing="0" w:line="360" w:lineRule="auto"/>
      <w:outlineLvl w:val="3"/>
    </w:pPr>
    <w:rPr>
      <w:rFonts w:ascii="Arial" w:hAnsi="Arial" w:eastAsia="宋体" w:cs="Times New Roman"/>
      <w:b/>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6">
    <w:name w:val="Body Text"/>
    <w:basedOn w:val="1"/>
    <w:qFormat/>
    <w:uiPriority w:val="0"/>
  </w:style>
  <w:style w:type="paragraph" w:styleId="7">
    <w:name w:val="toc 3"/>
    <w:basedOn w:val="1"/>
    <w:next w:val="1"/>
    <w:qFormat/>
    <w:uiPriority w:val="0"/>
    <w:pPr>
      <w:ind w:left="840" w:leftChars="40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10">
    <w:name w:val="toc 1"/>
    <w:basedOn w:val="1"/>
    <w:next w:val="1"/>
    <w:qFormat/>
    <w:uiPriority w:val="0"/>
    <w:rPr>
      <w:sz w:val="24"/>
    </w:rPr>
  </w:style>
  <w:style w:type="paragraph" w:styleId="11">
    <w:name w:val="toc 2"/>
    <w:basedOn w:val="1"/>
    <w:next w:val="1"/>
    <w:qFormat/>
    <w:uiPriority w:val="0"/>
    <w:pPr>
      <w:ind w:left="420" w:leftChars="200"/>
    </w:pPr>
  </w:style>
  <w:style w:type="paragraph" w:styleId="12">
    <w:name w:val="Normal (Web)"/>
    <w:basedOn w:val="1"/>
    <w:qFormat/>
    <w:uiPriority w:val="0"/>
    <w:pPr>
      <w:spacing w:beforeAutospacing="1" w:afterAutospacing="1"/>
      <w:jc w:val="left"/>
    </w:pPr>
    <w:rPr>
      <w:kern w:val="0"/>
      <w:sz w:val="24"/>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6">
    <w:name w:val="标题 2 Char"/>
    <w:link w:val="3"/>
    <w:qFormat/>
    <w:uiPriority w:val="0"/>
    <w:rPr>
      <w:rFonts w:ascii="仿宋" w:hAnsi="仿宋" w:eastAsia="宋体" w:cs="Times New Roman"/>
      <w:b/>
      <w:bCs/>
      <w:sz w:val="32"/>
      <w:szCs w:val="32"/>
    </w:rPr>
  </w:style>
  <w:style w:type="character" w:customStyle="1" w:styleId="17">
    <w:name w:val="标题 3 Char"/>
    <w:link w:val="4"/>
    <w:qFormat/>
    <w:uiPriority w:val="0"/>
    <w:rPr>
      <w:b/>
      <w:bCs/>
      <w:szCs w:val="32"/>
    </w:rPr>
  </w:style>
  <w:style w:type="character" w:customStyle="1" w:styleId="18">
    <w:name w:val="标题 1 Char"/>
    <w:link w:val="2"/>
    <w:qFormat/>
    <w:uiPriority w:val="0"/>
    <w:rPr>
      <w:rFonts w:ascii="Times New Roman" w:hAnsi="Times New Roman" w:eastAsia="黑体" w:cs="Times New Roman"/>
      <w:b/>
      <w:bCs/>
      <w:kern w:val="44"/>
      <w:sz w:val="36"/>
      <w:szCs w:val="44"/>
    </w:rPr>
  </w:style>
  <w:style w:type="paragraph" w:customStyle="1" w:styleId="19">
    <w:name w:val="WPSOffice手动目录 1"/>
    <w:qFormat/>
    <w:uiPriority w:val="0"/>
    <w:rPr>
      <w:rFonts w:ascii="Calibri" w:hAnsi="Calibri" w:eastAsia="宋体" w:cs="Times New Roman"/>
      <w:lang w:val="en-US" w:eastAsia="zh-CN" w:bidi="ar-SA"/>
    </w:rPr>
  </w:style>
  <w:style w:type="paragraph" w:customStyle="1" w:styleId="20">
    <w:name w:val="WPSOffice手动目录 2"/>
    <w:qFormat/>
    <w:uiPriority w:val="0"/>
    <w:pPr>
      <w:ind w:left="200" w:leftChars="200"/>
    </w:pPr>
    <w:rPr>
      <w:rFonts w:ascii="Calibri" w:hAnsi="Calibri" w:eastAsia="宋体" w:cs="Times New Roman"/>
      <w:lang w:val="en-US" w:eastAsia="zh-CN" w:bidi="ar-SA"/>
    </w:rPr>
  </w:style>
  <w:style w:type="paragraph" w:customStyle="1" w:styleId="21">
    <w:name w:val="WPSOffice手动目录 3"/>
    <w:qFormat/>
    <w:uiPriority w:val="0"/>
    <w:pPr>
      <w:ind w:left="400" w:leftChars="400"/>
    </w:pPr>
    <w:rPr>
      <w:rFonts w:ascii="Calibri" w:hAnsi="Calibri" w:eastAsia="宋体" w:cs="Times New Roman"/>
      <w:lang w:val="en-US" w:eastAsia="zh-CN" w:bidi="ar-SA"/>
    </w:rPr>
  </w:style>
  <w:style w:type="table" w:customStyle="1" w:styleId="22">
    <w:name w:val="网格型3"/>
    <w:basedOn w:val="13"/>
    <w:unhideWhenUsed/>
    <w:qFormat/>
    <w:uiPriority w:val="99"/>
    <w:rPr>
      <w:rFonts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3.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8863</Words>
  <Characters>9291</Characters>
  <Lines>83</Lines>
  <Paragraphs>23</Paragraphs>
  <TotalTime>1</TotalTime>
  <ScaleCrop>false</ScaleCrop>
  <LinksUpToDate>false</LinksUpToDate>
  <CharactersWithSpaces>9813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2020-05-26T02:56:00Z</dcterms:created>
  <dc:creator>JXB</dc:creator>
  <cp:lastModifiedBy>N.ever</cp:lastModifiedBy>
  <cp:lastPrinted>2020-08-25T07:06:00Z</cp:lastPrinted>
  <dcterms:modified xsi:type="dcterms:W3CDTF">2021-08-25T01:07:11Z</dcterms:modified>
  <dc:title>项目支出绩效评价报告</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0881BA568CF64ED6B459816729D8668F</vt:lpwstr>
  </property>
</Properties>
</file>