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kinsoku/>
        <w:topLinePunct/>
        <w:autoSpaceDE/>
        <w:autoSpaceDN/>
        <w:spacing w:line="56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南昌市东湖区工商业联合会</w:t>
      </w:r>
    </w:p>
    <w:p>
      <w:pPr>
        <w:pStyle w:val="9"/>
        <w:widowControl w:val="0"/>
        <w:kinsoku/>
        <w:topLinePunct/>
        <w:autoSpaceDE/>
        <w:autoSpaceDN/>
        <w:spacing w:line="560" w:lineRule="exact"/>
        <w:jc w:val="center"/>
        <w:rPr>
          <w:rFonts w:hint="eastAsia" w:ascii="黑体" w:hAnsi="黑体" w:eastAsia="黑体"/>
          <w:color w:val="000000" w:themeColor="text1"/>
          <w:sz w:val="44"/>
          <w:szCs w:val="44"/>
          <w:lang w:eastAsia="zh-CN"/>
        </w:rPr>
      </w:pPr>
      <w:r>
        <w:rPr>
          <w:rFonts w:hint="eastAsia" w:ascii="方正小标宋简体" w:eastAsia="方正小标宋简体"/>
          <w:color w:val="000000" w:themeColor="text1"/>
          <w:sz w:val="44"/>
          <w:szCs w:val="44"/>
        </w:rPr>
        <w:t>202</w:t>
      </w:r>
      <w:r>
        <w:rPr>
          <w:rFonts w:hint="eastAsia" w:ascii="方正小标宋简体" w:eastAsia="方正小标宋简体"/>
          <w:color w:val="000000" w:themeColor="text1"/>
          <w:sz w:val="44"/>
          <w:szCs w:val="44"/>
          <w:lang w:val="en-US" w:eastAsia="zh-CN"/>
        </w:rPr>
        <w:t>3</w:t>
      </w:r>
      <w:r>
        <w:rPr>
          <w:rFonts w:hint="eastAsia" w:ascii="方正小标宋简体" w:eastAsia="方正小标宋简体"/>
          <w:color w:val="000000" w:themeColor="text1"/>
          <w:sz w:val="44"/>
          <w:szCs w:val="44"/>
        </w:rPr>
        <w:t>年</w:t>
      </w:r>
      <w:r>
        <w:rPr>
          <w:rFonts w:hint="eastAsia" w:ascii="方正小标宋简体" w:eastAsia="方正小标宋简体"/>
          <w:color w:val="000000" w:themeColor="text1"/>
          <w:sz w:val="44"/>
          <w:szCs w:val="44"/>
          <w:lang w:val="en-US" w:eastAsia="zh-CN"/>
        </w:rPr>
        <w:t>单位</w:t>
      </w:r>
      <w:r>
        <w:rPr>
          <w:rFonts w:hint="eastAsia" w:ascii="方正小标宋简体" w:eastAsia="方正小标宋简体"/>
          <w:color w:val="000000" w:themeColor="text1"/>
          <w:sz w:val="44"/>
          <w:szCs w:val="44"/>
        </w:rPr>
        <w:t>预算</w:t>
      </w:r>
    </w:p>
    <w:p>
      <w:pPr>
        <w:pStyle w:val="9"/>
        <w:widowControl w:val="0"/>
        <w:kinsoku/>
        <w:topLinePunct/>
        <w:autoSpaceDE/>
        <w:autoSpaceDN/>
        <w:spacing w:line="560" w:lineRule="exact"/>
        <w:jc w:val="both"/>
        <w:rPr>
          <w:rFonts w:hint="eastAsia" w:ascii="黑体" w:hAnsi="黑体" w:eastAsia="黑体"/>
          <w:color w:val="000000" w:themeColor="text1"/>
          <w:sz w:val="32"/>
          <w:szCs w:val="32"/>
          <w:lang w:eastAsia="zh-CN"/>
        </w:rPr>
      </w:pP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jc w:val="center"/>
        <w:textAlignment w:val="baseline"/>
        <w:outlineLvl w:val="9"/>
        <w:rPr>
          <w:rFonts w:hint="eastAsia" w:ascii="黑体" w:hAnsi="黑体" w:eastAsia="黑体"/>
          <w:color w:val="000000" w:themeColor="text1"/>
          <w:sz w:val="32"/>
          <w:szCs w:val="32"/>
        </w:rPr>
      </w:pPr>
      <w:r>
        <w:rPr>
          <w:rFonts w:hint="eastAsia" w:ascii="黑体" w:hAnsi="黑体" w:eastAsia="黑体"/>
          <w:color w:val="000000" w:themeColor="text1"/>
          <w:sz w:val="32"/>
          <w:szCs w:val="32"/>
        </w:rPr>
        <w:t>目    录</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3" w:firstLineChars="200"/>
        <w:jc w:val="both"/>
        <w:textAlignment w:val="baseline"/>
        <w:outlineLvl w:val="9"/>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第一部分  东湖区工商业联合会概况</w:t>
      </w:r>
      <w:r>
        <w:rPr>
          <w:rFonts w:hint="eastAsia" w:ascii="仿宋_GB2312" w:hAnsi="黑体" w:eastAsia="仿宋_GB2312"/>
          <w:b/>
          <w:color w:val="000000" w:themeColor="text1"/>
          <w:sz w:val="32"/>
          <w:szCs w:val="32"/>
        </w:rPr>
        <w:tab/>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一、</w:t>
      </w:r>
      <w:r>
        <w:rPr>
          <w:rFonts w:hint="eastAsia" w:ascii="仿宋_GB2312" w:hAnsi="黑体" w:eastAsia="仿宋_GB2312"/>
          <w:color w:val="000000" w:themeColor="text1"/>
          <w:sz w:val="32"/>
          <w:szCs w:val="32"/>
          <w:lang w:val="en-US" w:eastAsia="zh-CN"/>
        </w:rPr>
        <w:t>单位</w:t>
      </w:r>
      <w:r>
        <w:rPr>
          <w:rFonts w:hint="eastAsia" w:ascii="仿宋_GB2312" w:hAnsi="黑体" w:eastAsia="仿宋_GB2312"/>
          <w:color w:val="000000" w:themeColor="text1"/>
          <w:sz w:val="32"/>
          <w:szCs w:val="32"/>
        </w:rPr>
        <w:t>主要职责</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default"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rPr>
        <w:t>二、</w:t>
      </w:r>
      <w:r>
        <w:rPr>
          <w:rFonts w:hint="eastAsia" w:ascii="仿宋_GB2312" w:hAnsi="黑体" w:eastAsia="仿宋_GB2312"/>
          <w:color w:val="000000" w:themeColor="text1"/>
          <w:sz w:val="32"/>
          <w:szCs w:val="32"/>
          <w:lang w:val="en-US" w:eastAsia="zh-CN"/>
        </w:rPr>
        <w:t>单位基本情况</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3" w:firstLineChars="200"/>
        <w:jc w:val="both"/>
        <w:textAlignment w:val="baseline"/>
        <w:outlineLvl w:val="9"/>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lang w:val="en-US" w:eastAsia="zh-CN"/>
        </w:rPr>
        <w:t>二</w:t>
      </w:r>
      <w:r>
        <w:rPr>
          <w:rFonts w:hint="eastAsia" w:ascii="仿宋_GB2312" w:hAnsi="黑体" w:eastAsia="仿宋_GB2312"/>
          <w:b/>
          <w:color w:val="000000" w:themeColor="text1"/>
          <w:sz w:val="32"/>
          <w:szCs w:val="32"/>
        </w:rPr>
        <w:t>部分  东湖区工商业联合会202</w:t>
      </w:r>
      <w:r>
        <w:rPr>
          <w:rFonts w:hint="eastAsia" w:ascii="仿宋_GB2312" w:hAnsi="黑体" w:eastAsia="仿宋_GB2312"/>
          <w:b/>
          <w:color w:val="000000" w:themeColor="text1"/>
          <w:sz w:val="32"/>
          <w:szCs w:val="32"/>
          <w:lang w:val="en-US" w:eastAsia="zh-CN"/>
        </w:rPr>
        <w:t>3</w:t>
      </w:r>
      <w:r>
        <w:rPr>
          <w:rFonts w:hint="eastAsia" w:ascii="仿宋_GB2312" w:hAnsi="黑体" w:eastAsia="仿宋_GB2312"/>
          <w:b/>
          <w:color w:val="000000" w:themeColor="text1"/>
          <w:sz w:val="32"/>
          <w:szCs w:val="32"/>
        </w:rPr>
        <w:t>年</w:t>
      </w:r>
      <w:r>
        <w:rPr>
          <w:rFonts w:hint="eastAsia" w:ascii="仿宋_GB2312" w:hAnsi="黑体" w:eastAsia="仿宋_GB2312"/>
          <w:b/>
          <w:color w:val="000000" w:themeColor="text1"/>
          <w:sz w:val="32"/>
          <w:szCs w:val="32"/>
          <w:lang w:val="en-US" w:eastAsia="zh-CN"/>
        </w:rPr>
        <w:t>单位</w:t>
      </w:r>
      <w:r>
        <w:rPr>
          <w:rFonts w:hint="eastAsia" w:ascii="仿宋_GB2312" w:hAnsi="黑体" w:eastAsia="仿宋_GB2312"/>
          <w:b/>
          <w:color w:val="000000" w:themeColor="text1"/>
          <w:sz w:val="32"/>
          <w:szCs w:val="32"/>
        </w:rPr>
        <w:t>预算情况说明</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w:t>
      </w:r>
      <w:r>
        <w:rPr>
          <w:rFonts w:hint="eastAsia" w:ascii="仿宋_GB2312" w:hAnsi="仿宋_GB2312" w:eastAsia="仿宋_GB2312" w:cs="仿宋_GB2312"/>
          <w:color w:val="000000" w:themeColor="text1"/>
          <w:sz w:val="32"/>
          <w:szCs w:val="32"/>
          <w:lang w:val="en-US" w:eastAsia="zh-CN"/>
        </w:rPr>
        <w:t>单位</w:t>
      </w:r>
      <w:r>
        <w:rPr>
          <w:rFonts w:hint="eastAsia" w:ascii="仿宋_GB2312" w:hAnsi="仿宋_GB2312" w:eastAsia="仿宋_GB2312" w:cs="仿宋_GB2312"/>
          <w:color w:val="000000" w:themeColor="text1"/>
          <w:sz w:val="32"/>
          <w:szCs w:val="32"/>
        </w:rPr>
        <w:t>预算收支情况说明</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仿宋_GB2312" w:eastAsia="仿宋_GB2312" w:cs="仿宋_GB2312"/>
          <w:color w:val="000000" w:themeColor="text1"/>
          <w:sz w:val="32"/>
          <w:szCs w:val="32"/>
        </w:rPr>
        <w:t>二、“三公”经费预算情况说明</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3" w:firstLineChars="200"/>
        <w:jc w:val="both"/>
        <w:textAlignment w:val="baseline"/>
        <w:outlineLvl w:val="9"/>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lang w:val="en-US" w:eastAsia="zh-CN"/>
        </w:rPr>
        <w:t>三</w:t>
      </w:r>
      <w:r>
        <w:rPr>
          <w:rFonts w:hint="eastAsia" w:ascii="仿宋_GB2312" w:hAnsi="黑体" w:eastAsia="仿宋_GB2312"/>
          <w:b/>
          <w:color w:val="000000" w:themeColor="text1"/>
          <w:sz w:val="32"/>
          <w:szCs w:val="32"/>
        </w:rPr>
        <w:t>部分 东湖区工商业联合会202</w:t>
      </w:r>
      <w:r>
        <w:rPr>
          <w:rFonts w:hint="eastAsia" w:ascii="仿宋_GB2312" w:hAnsi="黑体" w:eastAsia="仿宋_GB2312"/>
          <w:b/>
          <w:color w:val="000000" w:themeColor="text1"/>
          <w:sz w:val="32"/>
          <w:szCs w:val="32"/>
          <w:lang w:val="en-US" w:eastAsia="zh-CN"/>
        </w:rPr>
        <w:t>3</w:t>
      </w:r>
      <w:r>
        <w:rPr>
          <w:rFonts w:hint="eastAsia" w:ascii="仿宋_GB2312" w:hAnsi="黑体" w:eastAsia="仿宋_GB2312"/>
          <w:b/>
          <w:color w:val="000000" w:themeColor="text1"/>
          <w:sz w:val="32"/>
          <w:szCs w:val="32"/>
        </w:rPr>
        <w:t>年</w:t>
      </w:r>
      <w:r>
        <w:rPr>
          <w:rFonts w:hint="eastAsia" w:ascii="仿宋_GB2312" w:hAnsi="黑体" w:eastAsia="仿宋_GB2312"/>
          <w:b/>
          <w:color w:val="000000" w:themeColor="text1"/>
          <w:sz w:val="32"/>
          <w:szCs w:val="32"/>
          <w:lang w:val="en-US" w:eastAsia="zh-CN"/>
        </w:rPr>
        <w:t>单位</w:t>
      </w:r>
      <w:r>
        <w:rPr>
          <w:rFonts w:hint="eastAsia" w:ascii="仿宋_GB2312" w:hAnsi="黑体" w:eastAsia="仿宋_GB2312"/>
          <w:b/>
          <w:color w:val="000000" w:themeColor="text1"/>
          <w:sz w:val="32"/>
          <w:szCs w:val="32"/>
        </w:rPr>
        <w:t>预算表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一、《收支预算总表》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二、《部门收入总表》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三、《部门支出总表》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四、《财政拨款收支总表》</w:t>
      </w:r>
      <w:bookmarkStart w:id="0" w:name="_GoBack"/>
      <w:bookmarkEnd w:id="0"/>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五、《一般公共预算支出表》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六、《一般公共预算基本支出表》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七、《一般公共预算“三公”经费支出表》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八、《政府性基金预算支出表》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九、《国有资本经营预算支出表》</w:t>
      </w:r>
      <w:r>
        <w:rPr>
          <w:rFonts w:hint="eastAsia" w:ascii="仿宋_GB2312" w:hAnsi="黑体" w:eastAsia="仿宋_GB2312"/>
          <w:color w:val="000000" w:themeColor="text1"/>
          <w:sz w:val="32"/>
          <w:szCs w:val="32"/>
        </w:rPr>
        <w:tab/>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十、《项目</w:t>
      </w:r>
      <w:r>
        <w:rPr>
          <w:rFonts w:hint="eastAsia" w:ascii="仿宋_GB2312" w:hAnsi="黑体" w:eastAsia="仿宋_GB2312"/>
          <w:color w:val="000000" w:themeColor="text1"/>
          <w:sz w:val="32"/>
          <w:szCs w:val="32"/>
          <w:lang w:val="en-US" w:eastAsia="zh-CN"/>
        </w:rPr>
        <w:t>支出</w:t>
      </w:r>
      <w:r>
        <w:rPr>
          <w:rFonts w:hint="eastAsia" w:ascii="仿宋_GB2312" w:hAnsi="黑体" w:eastAsia="仿宋_GB2312"/>
          <w:color w:val="000000" w:themeColor="text1"/>
          <w:sz w:val="32"/>
          <w:szCs w:val="32"/>
        </w:rPr>
        <w:t>绩效目标表》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十</w:t>
      </w:r>
      <w:r>
        <w:rPr>
          <w:rFonts w:hint="eastAsia" w:ascii="仿宋_GB2312" w:hAnsi="黑体" w:eastAsia="仿宋_GB2312"/>
          <w:color w:val="000000" w:themeColor="text1"/>
          <w:sz w:val="32"/>
          <w:szCs w:val="32"/>
          <w:lang w:val="en-US" w:eastAsia="zh-CN"/>
        </w:rPr>
        <w:t>一</w:t>
      </w:r>
      <w:r>
        <w:rPr>
          <w:rFonts w:hint="eastAsia" w:ascii="仿宋_GB2312" w:hAnsi="黑体" w:eastAsia="仿宋_GB2312"/>
          <w:color w:val="000000" w:themeColor="text1"/>
          <w:sz w:val="32"/>
          <w:szCs w:val="32"/>
        </w:rPr>
        <w:t>、《部门整体支出绩效目标表》</w:t>
      </w:r>
    </w:p>
    <w:p>
      <w:pPr>
        <w:pStyle w:val="9"/>
        <w:keepNext w:val="0"/>
        <w:keepLines w:val="0"/>
        <w:pageBreakBefore w:val="0"/>
        <w:widowControl w:val="0"/>
        <w:numPr>
          <w:ilvl w:val="0"/>
          <w:numId w:val="1"/>
        </w:numPr>
        <w:kinsoku/>
        <w:wordWrap/>
        <w:overflowPunct/>
        <w:topLinePunct/>
        <w:autoSpaceDE/>
        <w:autoSpaceDN/>
        <w:bidi w:val="0"/>
        <w:adjustRightInd w:val="0"/>
        <w:snapToGrid w:val="0"/>
        <w:spacing w:line="580" w:lineRule="exact"/>
        <w:ind w:left="0" w:leftChars="0" w:right="0" w:rightChars="0" w:firstLine="643" w:firstLineChars="200"/>
        <w:jc w:val="both"/>
        <w:textAlignment w:val="baseline"/>
        <w:outlineLvl w:val="9"/>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 xml:space="preserve"> 名词解释</w:t>
      </w:r>
    </w:p>
    <w:p>
      <w:pPr>
        <w:pStyle w:val="9"/>
        <w:widowControl w:val="0"/>
        <w:kinsoku/>
        <w:topLinePunct/>
        <w:autoSpaceDE/>
        <w:autoSpaceDN/>
        <w:spacing w:line="560" w:lineRule="exact"/>
        <w:ind w:firstLine="643" w:firstLineChars="200"/>
        <w:jc w:val="both"/>
        <w:rPr>
          <w:rFonts w:hint="eastAsia" w:ascii="仿宋_GB2312" w:hAnsi="黑体" w:eastAsia="仿宋_GB2312"/>
          <w:b/>
          <w:color w:val="000000" w:themeColor="text1"/>
          <w:sz w:val="32"/>
          <w:szCs w:val="32"/>
        </w:rPr>
      </w:pPr>
    </w:p>
    <w:p>
      <w:pPr>
        <w:pStyle w:val="9"/>
        <w:widowControl w:val="0"/>
        <w:kinsoku/>
        <w:topLinePunct/>
        <w:autoSpaceDE/>
        <w:autoSpaceDN/>
        <w:spacing w:line="560" w:lineRule="exact"/>
        <w:ind w:firstLine="643" w:firstLineChars="200"/>
        <w:jc w:val="both"/>
        <w:rPr>
          <w:rFonts w:hint="eastAsia" w:ascii="仿宋_GB2312" w:hAnsi="黑体" w:eastAsia="仿宋_GB2312"/>
          <w:b/>
          <w:color w:val="000000" w:themeColor="text1"/>
          <w:sz w:val="32"/>
          <w:szCs w:val="32"/>
        </w:rPr>
      </w:pPr>
    </w:p>
    <w:p>
      <w:pPr>
        <w:pStyle w:val="9"/>
        <w:widowControl w:val="0"/>
        <w:kinsoku/>
        <w:topLinePunct/>
        <w:autoSpaceDE/>
        <w:autoSpaceDN/>
        <w:spacing w:line="560" w:lineRule="exact"/>
        <w:ind w:firstLine="643" w:firstLineChars="200"/>
        <w:jc w:val="center"/>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第一部分  东湖区工商业联合会概况</w:t>
      </w:r>
    </w:p>
    <w:p>
      <w:pPr>
        <w:pStyle w:val="9"/>
        <w:widowControl w:val="0"/>
        <w:kinsoku/>
        <w:topLinePunct/>
        <w:autoSpaceDE/>
        <w:autoSpaceDN/>
        <w:spacing w:line="560" w:lineRule="exact"/>
        <w:ind w:firstLine="640" w:firstLineChars="200"/>
        <w:jc w:val="both"/>
        <w:rPr>
          <w:rFonts w:hint="eastAsia" w:ascii="黑体" w:hAnsi="黑体" w:eastAsia="黑体"/>
          <w:color w:val="000000" w:themeColor="text1"/>
          <w:sz w:val="32"/>
          <w:szCs w:val="32"/>
        </w:rPr>
      </w:pP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黑体" w:hAnsi="黑体" w:eastAsia="黑体"/>
          <w:color w:val="000000" w:themeColor="text1"/>
          <w:sz w:val="32"/>
          <w:szCs w:val="32"/>
        </w:rPr>
      </w:pPr>
      <w:r>
        <w:rPr>
          <w:rFonts w:hint="eastAsia" w:ascii="黑体" w:hAnsi="黑体" w:eastAsia="黑体"/>
          <w:color w:val="000000" w:themeColor="text1"/>
          <w:sz w:val="32"/>
          <w:szCs w:val="32"/>
        </w:rPr>
        <w:t>一、</w:t>
      </w:r>
      <w:r>
        <w:rPr>
          <w:rFonts w:hint="eastAsia" w:ascii="黑体" w:hAnsi="黑体" w:eastAsia="黑体"/>
          <w:color w:val="000000" w:themeColor="text1"/>
          <w:sz w:val="32"/>
          <w:szCs w:val="32"/>
          <w:lang w:val="en-US" w:eastAsia="zh-CN"/>
        </w:rPr>
        <w:t>单位</w:t>
      </w:r>
      <w:r>
        <w:rPr>
          <w:rFonts w:hint="eastAsia" w:ascii="黑体" w:hAnsi="黑体" w:eastAsia="黑体"/>
          <w:color w:val="000000" w:themeColor="text1"/>
          <w:sz w:val="32"/>
          <w:szCs w:val="32"/>
        </w:rPr>
        <w:t>主要职责</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rPr>
        <w:t>东湖区工商联是区委区政府的组成部门之一，属群团单位。主要职责是：</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1、</w:t>
      </w:r>
      <w:r>
        <w:rPr>
          <w:rFonts w:hint="eastAsia" w:ascii="仿宋_GB2312" w:hAnsi="仿宋_GB2312" w:eastAsia="仿宋_GB2312" w:cs="仿宋_GB2312"/>
          <w:b w:val="0"/>
          <w:bCs w:val="0"/>
          <w:color w:val="000000" w:themeColor="text1"/>
          <w:kern w:val="0"/>
          <w:sz w:val="32"/>
          <w:szCs w:val="32"/>
        </w:rPr>
        <w:t>团结、服务、引导、教育非公有制经济人士爱国、敬业、诚信、守法、贡献、培养拥护党的领导、走中国特色社会主义道路的非公有制经济人士队伍。</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2、</w:t>
      </w:r>
      <w:r>
        <w:rPr>
          <w:rFonts w:hint="eastAsia" w:ascii="仿宋_GB2312" w:hAnsi="仿宋_GB2312" w:eastAsia="仿宋_GB2312" w:cs="仿宋_GB2312"/>
          <w:b w:val="0"/>
          <w:bCs w:val="0"/>
          <w:color w:val="000000" w:themeColor="text1"/>
          <w:kern w:val="0"/>
          <w:sz w:val="32"/>
          <w:szCs w:val="32"/>
        </w:rPr>
        <w:t>做好非公有制经济代表人士政治安排的推荐工作。参与政治协商，发挥民主监督作用，积极参政议政。</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3、</w:t>
      </w:r>
      <w:r>
        <w:rPr>
          <w:rFonts w:hint="eastAsia" w:ascii="仿宋_GB2312" w:hAnsi="仿宋_GB2312" w:eastAsia="仿宋_GB2312" w:cs="仿宋_GB2312"/>
          <w:b w:val="0"/>
          <w:bCs w:val="0"/>
          <w:color w:val="000000" w:themeColor="text1"/>
          <w:kern w:val="0"/>
          <w:sz w:val="32"/>
          <w:szCs w:val="32"/>
        </w:rPr>
        <w:t>参与政府相关的经济活动，广泛联系各地工商界人士，开展民间外交，推动经贸交流和协作，促进经济社会发展。</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4、</w:t>
      </w:r>
      <w:r>
        <w:rPr>
          <w:rFonts w:hint="eastAsia" w:ascii="仿宋_GB2312" w:hAnsi="仿宋_GB2312" w:eastAsia="仿宋_GB2312" w:cs="仿宋_GB2312"/>
          <w:b w:val="0"/>
          <w:bCs w:val="0"/>
          <w:color w:val="000000" w:themeColor="text1"/>
          <w:kern w:val="0"/>
          <w:sz w:val="32"/>
          <w:szCs w:val="32"/>
        </w:rPr>
        <w:t>参与协调劳动关系，促进和谐社会建设。</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5、</w:t>
      </w:r>
      <w:r>
        <w:rPr>
          <w:rFonts w:hint="eastAsia" w:ascii="仿宋_GB2312" w:hAnsi="仿宋_GB2312" w:eastAsia="仿宋_GB2312" w:cs="仿宋_GB2312"/>
          <w:b w:val="0"/>
          <w:bCs w:val="0"/>
          <w:color w:val="000000" w:themeColor="text1"/>
          <w:kern w:val="0"/>
          <w:sz w:val="32"/>
          <w:szCs w:val="32"/>
        </w:rPr>
        <w:t>指导本会直属商会工作，积极参与社会组织建设工作，促进行业协会商会改革发展。</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6、</w:t>
      </w:r>
      <w:r>
        <w:rPr>
          <w:rFonts w:hint="eastAsia" w:ascii="仿宋_GB2312" w:hAnsi="仿宋_GB2312" w:eastAsia="仿宋_GB2312" w:cs="仿宋_GB2312"/>
          <w:b w:val="0"/>
          <w:bCs w:val="0"/>
          <w:color w:val="000000" w:themeColor="text1"/>
          <w:kern w:val="0"/>
          <w:sz w:val="32"/>
          <w:szCs w:val="32"/>
        </w:rPr>
        <w:t>反映非公有制企业和非公有制经济人士利益诉求，维护其合法权益。</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7、</w:t>
      </w:r>
      <w:r>
        <w:rPr>
          <w:rFonts w:hint="eastAsia" w:ascii="仿宋_GB2312" w:hAnsi="仿宋_GB2312" w:eastAsia="仿宋_GB2312" w:cs="仿宋_GB2312"/>
          <w:b w:val="0"/>
          <w:bCs w:val="0"/>
          <w:color w:val="000000" w:themeColor="text1"/>
          <w:kern w:val="0"/>
          <w:sz w:val="32"/>
          <w:szCs w:val="32"/>
        </w:rPr>
        <w:t>为会员提供政策信息、人才交流培训等服务。组织会员企业参加各类经贸活动，外出参观考察，帮助会员企业拓展市场。</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8、</w:t>
      </w:r>
      <w:r>
        <w:rPr>
          <w:rFonts w:hint="eastAsia" w:ascii="仿宋_GB2312" w:hAnsi="仿宋_GB2312" w:eastAsia="仿宋_GB2312" w:cs="仿宋_GB2312"/>
          <w:b w:val="0"/>
          <w:bCs w:val="0"/>
          <w:color w:val="000000" w:themeColor="text1"/>
          <w:kern w:val="0"/>
          <w:sz w:val="32"/>
          <w:szCs w:val="32"/>
        </w:rPr>
        <w:t>配合有关部门开展非公有制会员企业党建工作。</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9、</w:t>
      </w:r>
      <w:r>
        <w:rPr>
          <w:rFonts w:hint="eastAsia" w:ascii="仿宋_GB2312" w:hAnsi="仿宋_GB2312" w:eastAsia="仿宋_GB2312" w:cs="仿宋_GB2312"/>
          <w:b w:val="0"/>
          <w:bCs w:val="0"/>
          <w:color w:val="000000" w:themeColor="text1"/>
          <w:kern w:val="0"/>
          <w:sz w:val="32"/>
          <w:szCs w:val="32"/>
        </w:rPr>
        <w:t>积极引导非公有制企业及其非公有制经济人士承担社会责任，大力支持慈善公益事业发展，积极投身光彩事业。</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10、</w:t>
      </w:r>
      <w:r>
        <w:rPr>
          <w:rFonts w:hint="eastAsia" w:ascii="仿宋_GB2312" w:hAnsi="仿宋_GB2312" w:eastAsia="仿宋_GB2312" w:cs="仿宋_GB2312"/>
          <w:b w:val="0"/>
          <w:bCs w:val="0"/>
          <w:color w:val="000000" w:themeColor="text1"/>
          <w:kern w:val="0"/>
          <w:sz w:val="32"/>
          <w:szCs w:val="32"/>
        </w:rPr>
        <w:t>承办区委、区政府和上级工商联交办的其他任务。</w:t>
      </w:r>
    </w:p>
    <w:p>
      <w:pPr>
        <w:pStyle w:val="9"/>
        <w:keepNext w:val="0"/>
        <w:keepLines w:val="0"/>
        <w:pageBreakBefore w:val="0"/>
        <w:widowControl w:val="0"/>
        <w:numPr>
          <w:ilvl w:val="0"/>
          <w:numId w:val="2"/>
        </w:numPr>
        <w:kinsoku/>
        <w:wordWrap/>
        <w:overflowPunct/>
        <w:topLinePunct/>
        <w:autoSpaceDE/>
        <w:autoSpaceDN/>
        <w:bidi w:val="0"/>
        <w:spacing w:line="580" w:lineRule="exact"/>
        <w:ind w:left="0" w:leftChars="0" w:right="0" w:rightChars="0" w:firstLine="640" w:firstLineChars="200"/>
        <w:jc w:val="both"/>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单位2023年主要工作任务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工商联2023年的主要工作任务是：两大块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1、围绕区委区政府中心工作：招商引资工作、创建工作、优化营商环境、承办政企联系会等。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2、工商联：发挥好宣传教育、参政议政、维权服务、会员组织、商会建设、社会公益各项事业等职能作用、抓好“五好”工商联自身组织建设工作。</w:t>
      </w:r>
    </w:p>
    <w:p>
      <w:pPr>
        <w:pStyle w:val="9"/>
        <w:keepNext w:val="0"/>
        <w:keepLines w:val="0"/>
        <w:pageBreakBefore w:val="0"/>
        <w:widowControl w:val="0"/>
        <w:numPr>
          <w:ilvl w:val="0"/>
          <w:numId w:val="2"/>
        </w:numPr>
        <w:kinsoku/>
        <w:wordWrap/>
        <w:overflowPunct/>
        <w:topLinePunct/>
        <w:autoSpaceDE/>
        <w:autoSpaceDN/>
        <w:bidi w:val="0"/>
        <w:spacing w:line="580" w:lineRule="exact"/>
        <w:ind w:left="0" w:leftChars="0" w:right="0" w:rightChars="0" w:firstLine="640" w:firstLineChars="200"/>
        <w:jc w:val="both"/>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单位基本情况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lang w:val="en-US" w:eastAsia="zh-CN"/>
        </w:rPr>
        <w:t>东湖区</w:t>
      </w:r>
      <w:r>
        <w:rPr>
          <w:rFonts w:hint="eastAsia" w:ascii="仿宋_GB2312" w:hAnsi="仿宋_GB2312" w:eastAsia="仿宋_GB2312" w:cs="仿宋_GB2312"/>
          <w:b w:val="0"/>
          <w:bCs w:val="0"/>
          <w:color w:val="000000" w:themeColor="text1"/>
          <w:kern w:val="0"/>
          <w:sz w:val="32"/>
          <w:szCs w:val="32"/>
        </w:rPr>
        <w:t>工商联</w:t>
      </w:r>
      <w:r>
        <w:rPr>
          <w:rFonts w:hint="eastAsia" w:ascii="仿宋_GB2312" w:hAnsi="黑体" w:eastAsia="仿宋_GB2312"/>
          <w:color w:val="000000" w:themeColor="text1"/>
          <w:sz w:val="32"/>
          <w:szCs w:val="32"/>
          <w:u w:val="none"/>
        </w:rPr>
        <w:t>共有预算单位</w:t>
      </w:r>
      <w:r>
        <w:rPr>
          <w:rFonts w:hint="eastAsia" w:ascii="仿宋_GB2312" w:hAnsi="黑体" w:eastAsia="仿宋_GB2312"/>
          <w:color w:val="000000" w:themeColor="text1"/>
          <w:sz w:val="32"/>
          <w:szCs w:val="32"/>
          <w:u w:val="none"/>
          <w:lang w:val="en-US" w:eastAsia="zh-CN"/>
        </w:rPr>
        <w:t>1</w:t>
      </w:r>
      <w:r>
        <w:rPr>
          <w:rFonts w:hint="eastAsia" w:ascii="仿宋_GB2312" w:hAnsi="黑体" w:eastAsia="仿宋_GB2312"/>
          <w:color w:val="000000" w:themeColor="text1"/>
          <w:sz w:val="32"/>
          <w:szCs w:val="32"/>
          <w:u w:val="none"/>
        </w:rPr>
        <w:t>个，包括：</w:t>
      </w:r>
      <w:r>
        <w:rPr>
          <w:rFonts w:hint="eastAsia" w:ascii="仿宋_GB2312" w:hAnsi="仿宋_GB2312" w:eastAsia="仿宋_GB2312" w:cs="仿宋_GB2312"/>
          <w:b w:val="0"/>
          <w:bCs w:val="0"/>
          <w:color w:val="000000" w:themeColor="text1"/>
          <w:sz w:val="32"/>
          <w:szCs w:val="32"/>
        </w:rPr>
        <w:t>南昌市东湖区工商业联合会本级</w:t>
      </w:r>
      <w:r>
        <w:rPr>
          <w:rFonts w:hint="eastAsia" w:ascii="仿宋_GB2312" w:hAnsi="黑体" w:eastAsia="仿宋_GB2312"/>
          <w:color w:val="000000" w:themeColor="text1"/>
          <w:sz w:val="32"/>
          <w:szCs w:val="32"/>
          <w:u w:val="none"/>
          <w:lang w:val="en-US" w:eastAsia="zh-CN"/>
        </w:rPr>
        <w:t>。其中，行政机关1</w:t>
      </w:r>
      <w:r>
        <w:rPr>
          <w:rFonts w:hint="eastAsia" w:ascii="仿宋_GB2312" w:hAnsi="黑体" w:eastAsia="仿宋_GB2312"/>
          <w:color w:val="000000" w:themeColor="text1"/>
          <w:sz w:val="32"/>
          <w:szCs w:val="32"/>
          <w:u w:val="none"/>
        </w:rPr>
        <w:t>个</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东湖区</w:t>
      </w:r>
      <w:r>
        <w:rPr>
          <w:rFonts w:hint="eastAsia" w:ascii="仿宋_GB2312" w:hAnsi="仿宋_GB2312" w:eastAsia="仿宋_GB2312" w:cs="仿宋_GB2312"/>
          <w:b w:val="0"/>
          <w:bCs w:val="0"/>
          <w:color w:val="000000" w:themeColor="text1"/>
          <w:sz w:val="32"/>
          <w:szCs w:val="32"/>
        </w:rPr>
        <w:t>工商业联合会</w:t>
      </w:r>
      <w:r>
        <w:rPr>
          <w:rFonts w:hint="eastAsia" w:ascii="仿宋_GB2312" w:hAnsi="黑体" w:eastAsia="仿宋_GB2312"/>
          <w:color w:val="000000" w:themeColor="text1"/>
          <w:sz w:val="32"/>
          <w:szCs w:val="32"/>
          <w:u w:val="none"/>
        </w:rPr>
        <w:t>。</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rPr>
        <w:t>编制人数</w:t>
      </w:r>
      <w:r>
        <w:rPr>
          <w:rFonts w:hint="eastAsia" w:ascii="仿宋_GB2312" w:hAnsi="黑体" w:eastAsia="仿宋_GB2312"/>
          <w:color w:val="000000" w:themeColor="text1"/>
          <w:sz w:val="32"/>
          <w:szCs w:val="32"/>
          <w:u w:val="none"/>
          <w:lang w:val="en-US" w:eastAsia="zh-CN"/>
        </w:rPr>
        <w:t>4</w:t>
      </w:r>
      <w:r>
        <w:rPr>
          <w:rFonts w:hint="eastAsia" w:ascii="仿宋_GB2312" w:hAnsi="黑体" w:eastAsia="仿宋_GB2312"/>
          <w:color w:val="000000" w:themeColor="text1"/>
          <w:sz w:val="32"/>
          <w:szCs w:val="32"/>
          <w:u w:val="none"/>
        </w:rPr>
        <w:t>人，其中：行政编制</w:t>
      </w:r>
      <w:r>
        <w:rPr>
          <w:rFonts w:hint="eastAsia" w:ascii="仿宋_GB2312" w:hAnsi="黑体" w:eastAsia="仿宋_GB2312"/>
          <w:color w:val="000000" w:themeColor="text1"/>
          <w:sz w:val="32"/>
          <w:szCs w:val="32"/>
          <w:u w:val="none"/>
          <w:lang w:val="en-US" w:eastAsia="zh-CN"/>
        </w:rPr>
        <w:t>4</w:t>
      </w:r>
      <w:r>
        <w:rPr>
          <w:rFonts w:hint="eastAsia" w:ascii="仿宋_GB2312" w:hAnsi="黑体" w:eastAsia="仿宋_GB2312"/>
          <w:color w:val="000000" w:themeColor="text1"/>
          <w:sz w:val="32"/>
          <w:szCs w:val="32"/>
          <w:u w:val="none"/>
        </w:rPr>
        <w:t>人。实有人数</w:t>
      </w:r>
      <w:r>
        <w:rPr>
          <w:rFonts w:hint="eastAsia" w:ascii="仿宋_GB2312" w:hAnsi="黑体" w:eastAsia="仿宋_GB2312"/>
          <w:color w:val="000000" w:themeColor="text1"/>
          <w:sz w:val="32"/>
          <w:szCs w:val="32"/>
          <w:u w:val="none"/>
          <w:lang w:val="en-US" w:eastAsia="zh-CN"/>
        </w:rPr>
        <w:t>5</w:t>
      </w:r>
      <w:r>
        <w:rPr>
          <w:rFonts w:hint="eastAsia" w:ascii="仿宋_GB2312" w:hAnsi="黑体" w:eastAsia="仿宋_GB2312"/>
          <w:color w:val="000000" w:themeColor="text1"/>
          <w:sz w:val="32"/>
          <w:szCs w:val="32"/>
          <w:u w:val="none"/>
        </w:rPr>
        <w:t>人，其中：在职人数</w:t>
      </w:r>
      <w:r>
        <w:rPr>
          <w:rFonts w:hint="eastAsia" w:ascii="仿宋_GB2312" w:hAnsi="黑体" w:eastAsia="仿宋_GB2312"/>
          <w:color w:val="000000" w:themeColor="text1"/>
          <w:sz w:val="32"/>
          <w:szCs w:val="32"/>
          <w:u w:val="none"/>
          <w:lang w:val="en-US" w:eastAsia="zh-CN"/>
        </w:rPr>
        <w:t>5</w:t>
      </w:r>
      <w:r>
        <w:rPr>
          <w:rFonts w:hint="eastAsia" w:ascii="仿宋_GB2312" w:hAnsi="黑体" w:eastAsia="仿宋_GB2312"/>
          <w:color w:val="000000" w:themeColor="text1"/>
          <w:sz w:val="32"/>
          <w:szCs w:val="32"/>
          <w:u w:val="none"/>
        </w:rPr>
        <w:t>人，</w:t>
      </w:r>
      <w:r>
        <w:rPr>
          <w:rFonts w:hint="eastAsia" w:ascii="仿宋_GB2312" w:hAnsi="黑体" w:eastAsia="仿宋_GB2312"/>
          <w:color w:val="000000" w:themeColor="text1"/>
          <w:sz w:val="32"/>
          <w:szCs w:val="32"/>
          <w:u w:val="none"/>
          <w:lang w:val="en-US" w:eastAsia="zh-CN"/>
        </w:rPr>
        <w:t>包括</w:t>
      </w:r>
      <w:r>
        <w:rPr>
          <w:rFonts w:hint="eastAsia" w:ascii="仿宋_GB2312" w:hAnsi="黑体" w:eastAsia="仿宋_GB2312"/>
          <w:color w:val="000000" w:themeColor="text1"/>
          <w:sz w:val="32"/>
          <w:szCs w:val="32"/>
          <w:u w:val="none"/>
        </w:rPr>
        <w:t>行政</w:t>
      </w:r>
      <w:r>
        <w:rPr>
          <w:rFonts w:hint="eastAsia" w:ascii="仿宋_GB2312" w:hAnsi="黑体" w:eastAsia="仿宋_GB2312"/>
          <w:color w:val="000000" w:themeColor="text1"/>
          <w:sz w:val="32"/>
          <w:szCs w:val="32"/>
          <w:u w:val="none"/>
          <w:lang w:val="en-US" w:eastAsia="zh-CN"/>
        </w:rPr>
        <w:t>人员3</w:t>
      </w:r>
      <w:r>
        <w:rPr>
          <w:rFonts w:hint="eastAsia" w:ascii="仿宋_GB2312" w:hAnsi="黑体" w:eastAsia="仿宋_GB2312"/>
          <w:color w:val="000000" w:themeColor="text1"/>
          <w:sz w:val="32"/>
          <w:szCs w:val="32"/>
          <w:u w:val="none"/>
        </w:rPr>
        <w:t>人，</w:t>
      </w:r>
      <w:r>
        <w:rPr>
          <w:rFonts w:hint="eastAsia" w:ascii="仿宋_GB2312" w:hAnsi="黑体" w:eastAsia="仿宋_GB2312"/>
          <w:color w:val="000000" w:themeColor="text1"/>
          <w:sz w:val="32"/>
          <w:szCs w:val="32"/>
          <w:u w:val="none"/>
          <w:lang w:val="en-US" w:eastAsia="zh-CN"/>
        </w:rPr>
        <w:t>其他2人</w:t>
      </w:r>
      <w:r>
        <w:rPr>
          <w:rFonts w:hint="eastAsia" w:ascii="仿宋_GB2312" w:hAnsi="黑体" w:eastAsia="仿宋_GB2312"/>
          <w:color w:val="000000" w:themeColor="text1"/>
          <w:sz w:val="32"/>
          <w:szCs w:val="32"/>
          <w:u w:val="none"/>
        </w:rPr>
        <w:t>。</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仿宋_GB2312" w:hAnsi="黑体" w:eastAsia="仿宋_GB2312"/>
          <w:b/>
          <w:color w:val="000000" w:themeColor="text1"/>
          <w:sz w:val="32"/>
          <w:szCs w:val="32"/>
        </w:rPr>
      </w:pP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仿宋_GB2312" w:hAnsi="黑体" w:eastAsia="仿宋_GB2312"/>
          <w:b/>
          <w:color w:val="000000" w:themeColor="text1"/>
          <w:sz w:val="32"/>
          <w:szCs w:val="32"/>
        </w:rPr>
      </w:pP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center"/>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lang w:val="en-US" w:eastAsia="zh-CN"/>
        </w:rPr>
        <w:t>二</w:t>
      </w:r>
      <w:r>
        <w:rPr>
          <w:rFonts w:hint="eastAsia" w:ascii="仿宋_GB2312" w:hAnsi="黑体" w:eastAsia="仿宋_GB2312"/>
          <w:b/>
          <w:color w:val="000000" w:themeColor="text1"/>
          <w:sz w:val="32"/>
          <w:szCs w:val="32"/>
        </w:rPr>
        <w:t>部分  东湖区工商业联合会</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center"/>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202</w:t>
      </w:r>
      <w:r>
        <w:rPr>
          <w:rFonts w:hint="eastAsia" w:ascii="仿宋_GB2312" w:hAnsi="黑体" w:eastAsia="仿宋_GB2312"/>
          <w:b/>
          <w:color w:val="000000" w:themeColor="text1"/>
          <w:sz w:val="32"/>
          <w:szCs w:val="32"/>
          <w:lang w:val="en-US" w:eastAsia="zh-CN"/>
        </w:rPr>
        <w:t>3</w:t>
      </w:r>
      <w:r>
        <w:rPr>
          <w:rFonts w:hint="eastAsia" w:ascii="仿宋_GB2312" w:hAnsi="黑体" w:eastAsia="仿宋_GB2312"/>
          <w:b/>
          <w:color w:val="000000" w:themeColor="text1"/>
          <w:sz w:val="32"/>
          <w:szCs w:val="32"/>
        </w:rPr>
        <w:t>年部门预算情况说明</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黑体" w:hAnsi="黑体" w:eastAsia="黑体"/>
          <w:color w:val="000000" w:themeColor="text1"/>
          <w:sz w:val="32"/>
          <w:szCs w:val="32"/>
        </w:rPr>
      </w:pP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黑体" w:hAnsi="黑体" w:eastAsia="黑体"/>
          <w:color w:val="000000" w:themeColor="text1"/>
          <w:sz w:val="32"/>
          <w:szCs w:val="32"/>
        </w:rPr>
      </w:pPr>
      <w:r>
        <w:rPr>
          <w:rFonts w:hint="eastAsia" w:ascii="黑体" w:hAnsi="黑体" w:eastAsia="黑体"/>
          <w:color w:val="000000" w:themeColor="text1"/>
          <w:sz w:val="32"/>
          <w:szCs w:val="32"/>
        </w:rPr>
        <w:t>一、</w:t>
      </w:r>
      <w:r>
        <w:rPr>
          <w:rFonts w:hint="eastAsia" w:ascii="黑体" w:hAnsi="黑体" w:eastAsia="黑体"/>
          <w:color w:val="000000" w:themeColor="text1"/>
          <w:sz w:val="32"/>
          <w:szCs w:val="32"/>
          <w:lang w:val="en-US" w:eastAsia="zh-CN"/>
        </w:rPr>
        <w:t>单位</w:t>
      </w:r>
      <w:r>
        <w:rPr>
          <w:rFonts w:hint="eastAsia" w:ascii="黑体" w:hAnsi="黑体" w:eastAsia="黑体"/>
          <w:color w:val="000000" w:themeColor="text1"/>
          <w:sz w:val="32"/>
          <w:szCs w:val="32"/>
        </w:rPr>
        <w:t>预算收支情况说明</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（一）收入预算情况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rPr>
        <w:t>202</w:t>
      </w: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年东湖区</w:t>
      </w:r>
      <w:r>
        <w:rPr>
          <w:rFonts w:hint="eastAsia" w:ascii="仿宋_GB2312" w:hAnsi="仿宋_GB2312" w:eastAsia="仿宋_GB2312" w:cs="仿宋_GB2312"/>
          <w:b w:val="0"/>
          <w:bCs w:val="0"/>
          <w:color w:val="000000" w:themeColor="text1"/>
          <w:sz w:val="32"/>
          <w:szCs w:val="32"/>
        </w:rPr>
        <w:t>工商联</w:t>
      </w:r>
      <w:r>
        <w:rPr>
          <w:rFonts w:hint="eastAsia" w:ascii="仿宋_GB2312" w:hAnsi="黑体" w:eastAsia="仿宋_GB2312"/>
          <w:color w:val="000000" w:themeColor="text1"/>
          <w:sz w:val="32"/>
          <w:szCs w:val="32"/>
          <w:u w:val="none"/>
        </w:rPr>
        <w:t>收入预算总额</w:t>
      </w:r>
      <w:r>
        <w:rPr>
          <w:rFonts w:hint="eastAsia" w:ascii="仿宋_GB2312" w:hAnsi="黑体" w:eastAsia="仿宋_GB2312"/>
          <w:color w:val="000000" w:themeColor="text1"/>
          <w:sz w:val="32"/>
          <w:szCs w:val="32"/>
          <w:u w:val="none"/>
          <w:lang w:val="en-US" w:eastAsia="zh-CN"/>
        </w:rPr>
        <w:t>为</w:t>
      </w:r>
      <w:r>
        <w:rPr>
          <w:rFonts w:hint="eastAsia" w:ascii="仿宋_GB2312" w:hAnsi="仿宋_GB2312" w:eastAsia="仿宋_GB2312" w:cs="仿宋_GB2312"/>
          <w:b w:val="0"/>
          <w:bCs w:val="0"/>
          <w:color w:val="000000" w:themeColor="text1"/>
          <w:sz w:val="32"/>
          <w:szCs w:val="32"/>
          <w:lang w:val="en-US" w:eastAsia="zh-CN"/>
        </w:rPr>
        <w:t>110.81</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val="en-US" w:eastAsia="zh-CN"/>
        </w:rPr>
        <w:t>比</w:t>
      </w:r>
      <w:r>
        <w:rPr>
          <w:rFonts w:hint="eastAsia" w:ascii="仿宋_GB2312" w:hAnsi="黑体" w:eastAsia="仿宋_GB2312"/>
          <w:color w:val="000000" w:themeColor="text1"/>
          <w:sz w:val="32"/>
          <w:szCs w:val="32"/>
          <w:u w:val="none"/>
        </w:rPr>
        <w:t>上年</w:t>
      </w:r>
      <w:r>
        <w:rPr>
          <w:rFonts w:hint="eastAsia" w:ascii="仿宋_GB2312" w:hAnsi="黑体" w:eastAsia="仿宋_GB2312"/>
          <w:color w:val="000000" w:themeColor="text1"/>
          <w:sz w:val="32"/>
          <w:szCs w:val="32"/>
          <w:u w:val="none"/>
          <w:lang w:val="en-US" w:eastAsia="zh-CN"/>
        </w:rPr>
        <w:t>减少53.24</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减少32.45%</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其中：</w:t>
      </w:r>
      <w:r>
        <w:rPr>
          <w:rFonts w:hint="eastAsia" w:ascii="仿宋_GB2312" w:hAnsi="黑体" w:eastAsia="仿宋_GB2312"/>
          <w:color w:val="000000" w:themeColor="text1"/>
          <w:sz w:val="32"/>
          <w:szCs w:val="32"/>
          <w:u w:val="none"/>
        </w:rPr>
        <w:t>财政拨款收入</w:t>
      </w:r>
      <w:r>
        <w:rPr>
          <w:rFonts w:hint="eastAsia" w:ascii="仿宋_GB2312" w:hAnsi="黑体" w:eastAsia="仿宋_GB2312"/>
          <w:color w:val="000000" w:themeColor="text1"/>
          <w:sz w:val="32"/>
          <w:szCs w:val="32"/>
          <w:u w:val="none"/>
          <w:lang w:val="en-US" w:eastAsia="zh-CN"/>
        </w:rPr>
        <w:t>110.81</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val="en-US" w:eastAsia="zh-CN"/>
        </w:rPr>
        <w:t>。</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（二）支出预算情况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rPr>
        <w:t>202</w:t>
      </w: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年</w:t>
      </w:r>
      <w:r>
        <w:rPr>
          <w:rFonts w:hint="eastAsia" w:ascii="仿宋_GB2312" w:hAnsi="黑体" w:eastAsia="仿宋_GB2312"/>
          <w:color w:val="000000" w:themeColor="text1"/>
          <w:sz w:val="32"/>
          <w:szCs w:val="32"/>
          <w:u w:val="none"/>
          <w:lang w:val="en-US" w:eastAsia="zh-CN"/>
        </w:rPr>
        <w:t>东湖</w:t>
      </w:r>
      <w:r>
        <w:rPr>
          <w:rFonts w:hint="eastAsia" w:ascii="仿宋_GB2312" w:hAnsi="黑体" w:eastAsia="仿宋_GB2312"/>
          <w:color w:val="000000" w:themeColor="text1"/>
          <w:sz w:val="32"/>
          <w:szCs w:val="32"/>
          <w:u w:val="none"/>
        </w:rPr>
        <w:t>区</w:t>
      </w:r>
      <w:r>
        <w:rPr>
          <w:rFonts w:hint="eastAsia" w:ascii="仿宋_GB2312" w:hAnsi="仿宋_GB2312" w:eastAsia="仿宋_GB2312" w:cs="仿宋_GB2312"/>
          <w:b w:val="0"/>
          <w:bCs w:val="0"/>
          <w:color w:val="000000" w:themeColor="text1"/>
          <w:sz w:val="32"/>
          <w:szCs w:val="32"/>
        </w:rPr>
        <w:t>工商联</w:t>
      </w:r>
      <w:r>
        <w:rPr>
          <w:rFonts w:hint="eastAsia" w:ascii="仿宋_GB2312" w:hAnsi="黑体" w:eastAsia="仿宋_GB2312"/>
          <w:color w:val="000000" w:themeColor="text1"/>
          <w:sz w:val="32"/>
          <w:szCs w:val="32"/>
          <w:u w:val="none"/>
        </w:rPr>
        <w:t>支出预算总额为</w:t>
      </w:r>
      <w:r>
        <w:rPr>
          <w:rFonts w:hint="eastAsia" w:ascii="仿宋_GB2312" w:hAnsi="黑体" w:eastAsia="仿宋_GB2312"/>
          <w:color w:val="000000" w:themeColor="text1"/>
          <w:sz w:val="32"/>
          <w:szCs w:val="32"/>
          <w:u w:val="none"/>
          <w:lang w:val="en-US" w:eastAsia="zh-CN"/>
        </w:rPr>
        <w:t>110.81</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val="en-US" w:eastAsia="zh-CN"/>
        </w:rPr>
        <w:t>比</w:t>
      </w:r>
      <w:r>
        <w:rPr>
          <w:rFonts w:hint="eastAsia" w:ascii="仿宋_GB2312" w:hAnsi="黑体" w:eastAsia="仿宋_GB2312"/>
          <w:color w:val="000000" w:themeColor="text1"/>
          <w:sz w:val="32"/>
          <w:szCs w:val="32"/>
          <w:u w:val="none"/>
        </w:rPr>
        <w:t>上年</w:t>
      </w:r>
      <w:r>
        <w:rPr>
          <w:rFonts w:hint="eastAsia" w:ascii="仿宋_GB2312" w:hAnsi="黑体" w:eastAsia="仿宋_GB2312"/>
          <w:color w:val="000000" w:themeColor="text1"/>
          <w:sz w:val="32"/>
          <w:szCs w:val="32"/>
          <w:u w:val="none"/>
          <w:lang w:val="en-US" w:eastAsia="zh-CN"/>
        </w:rPr>
        <w:t>减少53.24</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减少32.45%。</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按支出项目类别划分：基本支出</w:t>
      </w:r>
      <w:r>
        <w:rPr>
          <w:rFonts w:hint="eastAsia" w:ascii="仿宋_GB2312" w:hAnsi="仿宋_GB2312" w:eastAsia="仿宋_GB2312" w:cs="仿宋_GB2312"/>
          <w:b w:val="0"/>
          <w:bCs w:val="0"/>
          <w:color w:val="000000" w:themeColor="text1"/>
          <w:sz w:val="32"/>
          <w:szCs w:val="32"/>
          <w:lang w:val="en-US" w:eastAsia="zh-CN"/>
        </w:rPr>
        <w:t>73.79</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66.59</w:t>
      </w:r>
      <w:r>
        <w:rPr>
          <w:rFonts w:hint="eastAsia" w:ascii="仿宋_GB2312" w:hAnsi="仿宋_GB2312" w:eastAsia="仿宋_GB2312" w:cs="仿宋_GB2312"/>
          <w:b w:val="0"/>
          <w:bCs w:val="0"/>
          <w:color w:val="000000" w:themeColor="text1"/>
          <w:sz w:val="32"/>
          <w:szCs w:val="32"/>
        </w:rPr>
        <w:t>%；包括工资福利支出</w:t>
      </w:r>
      <w:r>
        <w:rPr>
          <w:rFonts w:hint="eastAsia" w:ascii="仿宋_GB2312" w:hAnsi="仿宋_GB2312" w:eastAsia="仿宋_GB2312" w:cs="仿宋_GB2312"/>
          <w:b w:val="0"/>
          <w:bCs w:val="0"/>
          <w:color w:val="000000" w:themeColor="text1"/>
          <w:sz w:val="32"/>
          <w:szCs w:val="32"/>
          <w:lang w:val="en-US" w:eastAsia="zh-CN"/>
        </w:rPr>
        <w:t>68.04</w:t>
      </w:r>
      <w:r>
        <w:rPr>
          <w:rFonts w:hint="eastAsia" w:ascii="仿宋_GB2312" w:hAnsi="仿宋_GB2312" w:eastAsia="仿宋_GB2312" w:cs="仿宋_GB2312"/>
          <w:b w:val="0"/>
          <w:bCs w:val="0"/>
          <w:color w:val="000000" w:themeColor="text1"/>
          <w:sz w:val="32"/>
          <w:szCs w:val="32"/>
        </w:rPr>
        <w:t>万元、日常公用支出</w:t>
      </w:r>
      <w:r>
        <w:rPr>
          <w:rFonts w:hint="eastAsia" w:ascii="仿宋_GB2312" w:hAnsi="仿宋_GB2312" w:eastAsia="仿宋_GB2312" w:cs="仿宋_GB2312"/>
          <w:b w:val="0"/>
          <w:bCs w:val="0"/>
          <w:color w:val="000000" w:themeColor="text1"/>
          <w:sz w:val="32"/>
          <w:szCs w:val="32"/>
          <w:lang w:val="en-US" w:eastAsia="zh-CN"/>
        </w:rPr>
        <w:t>5.51</w:t>
      </w:r>
      <w:r>
        <w:rPr>
          <w:rFonts w:hint="eastAsia" w:ascii="仿宋_GB2312" w:hAnsi="仿宋_GB2312" w:eastAsia="仿宋_GB2312" w:cs="仿宋_GB2312"/>
          <w:b w:val="0"/>
          <w:bCs w:val="0"/>
          <w:color w:val="000000" w:themeColor="text1"/>
          <w:sz w:val="32"/>
          <w:szCs w:val="32"/>
        </w:rPr>
        <w:t>万元、对个人和家庭的补助</w:t>
      </w:r>
      <w:r>
        <w:rPr>
          <w:rFonts w:hint="eastAsia" w:ascii="仿宋_GB2312" w:hAnsi="仿宋_GB2312" w:eastAsia="仿宋_GB2312" w:cs="仿宋_GB2312"/>
          <w:b w:val="0"/>
          <w:bCs w:val="0"/>
          <w:color w:val="000000" w:themeColor="text1"/>
          <w:sz w:val="32"/>
          <w:szCs w:val="32"/>
          <w:lang w:val="en-US" w:eastAsia="zh-CN"/>
        </w:rPr>
        <w:t>0.24</w:t>
      </w:r>
      <w:r>
        <w:rPr>
          <w:rFonts w:hint="eastAsia" w:ascii="仿宋_GB2312" w:hAnsi="仿宋_GB2312" w:eastAsia="仿宋_GB2312" w:cs="仿宋_GB2312"/>
          <w:b w:val="0"/>
          <w:bCs w:val="0"/>
          <w:color w:val="000000" w:themeColor="text1"/>
          <w:sz w:val="32"/>
          <w:szCs w:val="32"/>
        </w:rPr>
        <w:t>万元；项目支出</w:t>
      </w:r>
      <w:r>
        <w:rPr>
          <w:rFonts w:hint="eastAsia" w:ascii="仿宋_GB2312" w:hAnsi="仿宋_GB2312" w:eastAsia="仿宋_GB2312" w:cs="仿宋_GB2312"/>
          <w:b w:val="0"/>
          <w:bCs w:val="0"/>
          <w:color w:val="000000" w:themeColor="text1"/>
          <w:sz w:val="32"/>
          <w:szCs w:val="32"/>
          <w:lang w:val="en-US" w:eastAsia="zh-CN"/>
        </w:rPr>
        <w:t>37.02</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33.41</w:t>
      </w:r>
      <w:r>
        <w:rPr>
          <w:rFonts w:hint="eastAsia" w:ascii="仿宋_GB2312" w:hAnsi="仿宋_GB2312" w:eastAsia="仿宋_GB2312" w:cs="仿宋_GB2312"/>
          <w:b w:val="0"/>
          <w:bCs w:val="0"/>
          <w:color w:val="000000" w:themeColor="text1"/>
          <w:sz w:val="32"/>
          <w:szCs w:val="32"/>
        </w:rPr>
        <w:t>%，包括其他项目支出</w:t>
      </w:r>
      <w:r>
        <w:rPr>
          <w:rFonts w:hint="eastAsia" w:ascii="仿宋_GB2312" w:hAnsi="仿宋_GB2312" w:eastAsia="仿宋_GB2312" w:cs="仿宋_GB2312"/>
          <w:b w:val="0"/>
          <w:bCs w:val="0"/>
          <w:color w:val="000000" w:themeColor="text1"/>
          <w:sz w:val="32"/>
          <w:szCs w:val="32"/>
          <w:lang w:val="en-US" w:eastAsia="zh-CN"/>
        </w:rPr>
        <w:t>37.02</w:t>
      </w:r>
      <w:r>
        <w:rPr>
          <w:rFonts w:hint="eastAsia" w:ascii="仿宋_GB2312" w:hAnsi="仿宋_GB2312" w:eastAsia="仿宋_GB2312" w:cs="仿宋_GB2312"/>
          <w:b w:val="0"/>
          <w:bCs w:val="0"/>
          <w:color w:val="000000" w:themeColor="text1"/>
          <w:sz w:val="32"/>
          <w:szCs w:val="32"/>
        </w:rPr>
        <w:t>万元。</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按支出功能科目划分：一般公共服务</w:t>
      </w:r>
      <w:r>
        <w:rPr>
          <w:rFonts w:hint="eastAsia" w:ascii="仿宋_GB2312" w:hAnsi="仿宋_GB2312" w:eastAsia="仿宋_GB2312" w:cs="仿宋_GB2312"/>
          <w:b w:val="0"/>
          <w:bCs w:val="0"/>
          <w:color w:val="000000" w:themeColor="text1"/>
          <w:sz w:val="32"/>
          <w:szCs w:val="32"/>
          <w:lang w:val="en-US" w:eastAsia="zh-CN"/>
        </w:rPr>
        <w:t>95.59</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86.26</w:t>
      </w:r>
      <w:r>
        <w:rPr>
          <w:rFonts w:hint="eastAsia" w:ascii="仿宋_GB2312" w:hAnsi="仿宋_GB2312" w:eastAsia="仿宋_GB2312" w:cs="仿宋_GB2312"/>
          <w:b w:val="0"/>
          <w:bCs w:val="0"/>
          <w:color w:val="000000" w:themeColor="text1"/>
          <w:sz w:val="32"/>
          <w:szCs w:val="32"/>
        </w:rPr>
        <w:t>%；社会保障和就业支出</w:t>
      </w:r>
      <w:r>
        <w:rPr>
          <w:rFonts w:hint="eastAsia" w:ascii="仿宋_GB2312" w:hAnsi="仿宋_GB2312" w:eastAsia="仿宋_GB2312" w:cs="仿宋_GB2312"/>
          <w:b w:val="0"/>
          <w:bCs w:val="0"/>
          <w:color w:val="000000" w:themeColor="text1"/>
          <w:sz w:val="32"/>
          <w:szCs w:val="32"/>
          <w:lang w:val="en-US" w:eastAsia="zh-CN"/>
        </w:rPr>
        <w:t>6.03</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5.44</w:t>
      </w:r>
      <w:r>
        <w:rPr>
          <w:rFonts w:hint="eastAsia" w:ascii="仿宋_GB2312" w:hAnsi="仿宋_GB2312" w:eastAsia="仿宋_GB2312" w:cs="仿宋_GB2312"/>
          <w:b w:val="0"/>
          <w:bCs w:val="0"/>
          <w:color w:val="000000" w:themeColor="text1"/>
          <w:sz w:val="32"/>
          <w:szCs w:val="32"/>
        </w:rPr>
        <w:t>%；住房保障支出</w:t>
      </w:r>
      <w:r>
        <w:rPr>
          <w:rFonts w:hint="eastAsia" w:ascii="仿宋_GB2312" w:hAnsi="仿宋_GB2312" w:eastAsia="仿宋_GB2312" w:cs="仿宋_GB2312"/>
          <w:b w:val="0"/>
          <w:bCs w:val="0"/>
          <w:color w:val="000000" w:themeColor="text1"/>
          <w:sz w:val="32"/>
          <w:szCs w:val="32"/>
          <w:lang w:val="en-US" w:eastAsia="zh-CN"/>
        </w:rPr>
        <w:t>9.19</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8.30</w:t>
      </w:r>
      <w:r>
        <w:rPr>
          <w:rFonts w:hint="eastAsia" w:ascii="仿宋_GB2312" w:hAnsi="仿宋_GB2312" w:eastAsia="仿宋_GB2312" w:cs="仿宋_GB2312"/>
          <w:b w:val="0"/>
          <w:bCs w:val="0"/>
          <w:color w:val="000000" w:themeColor="text1"/>
          <w:sz w:val="32"/>
          <w:szCs w:val="32"/>
        </w:rPr>
        <w:t>%。</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按支出经济分类划分：工资福利支出</w:t>
      </w:r>
      <w:r>
        <w:rPr>
          <w:rFonts w:hint="eastAsia" w:ascii="仿宋_GB2312" w:hAnsi="仿宋_GB2312" w:eastAsia="仿宋_GB2312" w:cs="仿宋_GB2312"/>
          <w:b w:val="0"/>
          <w:bCs w:val="0"/>
          <w:color w:val="000000" w:themeColor="text1"/>
          <w:sz w:val="32"/>
          <w:szCs w:val="32"/>
          <w:lang w:val="en-US" w:eastAsia="zh-CN"/>
        </w:rPr>
        <w:t>68.04</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61.40</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对个人和家庭的补助</w:t>
      </w:r>
      <w:r>
        <w:rPr>
          <w:rFonts w:hint="eastAsia" w:ascii="仿宋_GB2312" w:hAnsi="仿宋_GB2312" w:eastAsia="仿宋_GB2312" w:cs="仿宋_GB2312"/>
          <w:b w:val="0"/>
          <w:bCs w:val="0"/>
          <w:color w:val="000000" w:themeColor="text1"/>
          <w:sz w:val="32"/>
          <w:szCs w:val="32"/>
          <w:lang w:val="en-US" w:eastAsia="zh-CN"/>
        </w:rPr>
        <w:t>0.24</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0.22</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商品和服务支出</w:t>
      </w:r>
      <w:r>
        <w:rPr>
          <w:rFonts w:hint="eastAsia" w:ascii="仿宋_GB2312" w:hAnsi="仿宋_GB2312" w:eastAsia="仿宋_GB2312" w:cs="仿宋_GB2312"/>
          <w:b w:val="0"/>
          <w:bCs w:val="0"/>
          <w:color w:val="000000" w:themeColor="text1"/>
          <w:sz w:val="32"/>
          <w:szCs w:val="32"/>
          <w:lang w:val="en-US" w:eastAsia="zh-CN"/>
        </w:rPr>
        <w:t>5.51</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4.97</w:t>
      </w:r>
      <w:r>
        <w:rPr>
          <w:rFonts w:hint="eastAsia" w:ascii="仿宋_GB2312" w:hAnsi="仿宋_GB2312" w:eastAsia="仿宋_GB2312" w:cs="仿宋_GB2312"/>
          <w:b w:val="0"/>
          <w:bCs w:val="0"/>
          <w:color w:val="000000" w:themeColor="text1"/>
          <w:sz w:val="32"/>
          <w:szCs w:val="32"/>
        </w:rPr>
        <w:t>%；其他运转类</w:t>
      </w:r>
      <w:r>
        <w:rPr>
          <w:rFonts w:hint="eastAsia" w:ascii="仿宋_GB2312" w:hAnsi="仿宋_GB2312" w:eastAsia="仿宋_GB2312" w:cs="仿宋_GB2312"/>
          <w:b w:val="0"/>
          <w:bCs w:val="0"/>
          <w:color w:val="000000" w:themeColor="text1"/>
          <w:sz w:val="32"/>
          <w:szCs w:val="32"/>
          <w:lang w:val="en-US" w:eastAsia="zh-CN"/>
        </w:rPr>
        <w:t>37.02</w:t>
      </w:r>
      <w:r>
        <w:rPr>
          <w:rFonts w:hint="eastAsia" w:ascii="仿宋_GB2312" w:hAnsi="仿宋_GB2312" w:eastAsia="仿宋_GB2312" w:cs="仿宋_GB2312"/>
          <w:b w:val="0"/>
          <w:bCs w:val="0"/>
          <w:color w:val="000000" w:themeColor="text1"/>
          <w:sz w:val="32"/>
          <w:szCs w:val="32"/>
        </w:rPr>
        <w:t>万元，占支出预算总额的</w:t>
      </w:r>
      <w:r>
        <w:rPr>
          <w:rFonts w:hint="eastAsia" w:ascii="仿宋_GB2312" w:hAnsi="仿宋_GB2312" w:eastAsia="仿宋_GB2312" w:cs="仿宋_GB2312"/>
          <w:b w:val="0"/>
          <w:bCs w:val="0"/>
          <w:color w:val="000000" w:themeColor="text1"/>
          <w:sz w:val="32"/>
          <w:szCs w:val="32"/>
          <w:lang w:val="en-US" w:eastAsia="zh-CN"/>
        </w:rPr>
        <w:t>33.41</w:t>
      </w:r>
      <w:r>
        <w:rPr>
          <w:rFonts w:hint="eastAsia" w:ascii="仿宋_GB2312" w:hAnsi="仿宋_GB2312" w:eastAsia="仿宋_GB2312" w:cs="仿宋_GB2312"/>
          <w:b w:val="0"/>
          <w:bCs w:val="0"/>
          <w:color w:val="000000" w:themeColor="text1"/>
          <w:sz w:val="32"/>
          <w:szCs w:val="32"/>
        </w:rPr>
        <w:t>%。</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（三）财政拨款支出情况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highlight w:val="yellow"/>
          <w:u w:val="none"/>
          <w:lang w:val="en-US" w:eastAsia="zh-CN"/>
        </w:rPr>
      </w:pPr>
      <w:r>
        <w:rPr>
          <w:rFonts w:hint="eastAsia" w:ascii="仿宋_GB2312" w:hAnsi="黑体" w:eastAsia="仿宋_GB2312"/>
          <w:color w:val="000000" w:themeColor="text1"/>
          <w:sz w:val="32"/>
          <w:szCs w:val="32"/>
          <w:u w:val="none"/>
        </w:rPr>
        <w:t>202</w:t>
      </w: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年东湖区</w:t>
      </w:r>
      <w:r>
        <w:rPr>
          <w:rFonts w:hint="eastAsia" w:ascii="仿宋_GB2312" w:hAnsi="黑体" w:eastAsia="仿宋_GB2312"/>
          <w:color w:val="000000" w:themeColor="text1"/>
          <w:sz w:val="32"/>
          <w:szCs w:val="32"/>
          <w:u w:val="none"/>
          <w:lang w:val="en-US" w:eastAsia="zh-CN"/>
        </w:rPr>
        <w:t>工商联</w:t>
      </w:r>
      <w:r>
        <w:rPr>
          <w:rFonts w:hint="eastAsia" w:ascii="仿宋_GB2312" w:hAnsi="黑体" w:eastAsia="仿宋_GB2312"/>
          <w:color w:val="000000" w:themeColor="text1"/>
          <w:sz w:val="32"/>
          <w:szCs w:val="32"/>
          <w:u w:val="none"/>
        </w:rPr>
        <w:t>财政拨款支出预算</w:t>
      </w:r>
      <w:r>
        <w:rPr>
          <w:rFonts w:hint="eastAsia" w:ascii="仿宋_GB2312" w:hAnsi="黑体" w:eastAsia="仿宋_GB2312"/>
          <w:color w:val="000000" w:themeColor="text1"/>
          <w:sz w:val="32"/>
          <w:szCs w:val="32"/>
          <w:u w:val="none"/>
          <w:lang w:val="en-US" w:eastAsia="zh-CN"/>
        </w:rPr>
        <w:t>110.81</w:t>
      </w:r>
      <w:r>
        <w:rPr>
          <w:rFonts w:hint="eastAsia" w:ascii="仿宋_GB2312" w:hAnsi="黑体" w:eastAsia="仿宋_GB2312"/>
          <w:color w:val="000000" w:themeColor="text1"/>
          <w:sz w:val="32"/>
          <w:szCs w:val="32"/>
          <w:u w:val="none"/>
        </w:rPr>
        <w:t>万元，较上年增加</w:t>
      </w:r>
      <w:r>
        <w:rPr>
          <w:rFonts w:hint="eastAsia" w:ascii="仿宋_GB2312" w:hAnsi="黑体" w:eastAsia="仿宋_GB2312"/>
          <w:color w:val="000000" w:themeColor="text1"/>
          <w:sz w:val="32"/>
          <w:szCs w:val="32"/>
          <w:u w:val="none"/>
          <w:lang w:val="en-US" w:eastAsia="zh-CN"/>
        </w:rPr>
        <w:t>36.76</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增长33.17%</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具体情况是：一般公共服务支出95.59万元，占财政拨款支出的86.27%；社会保障和就业支出6.03万元，占财政拨款支出的5.44%；住房保障支出9.19万元，占财政拨款支出的8.29%。</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（四）政府性基金情况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default"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u w:val="none"/>
          <w:lang w:val="en-US" w:eastAsia="zh-CN"/>
        </w:rPr>
        <w:t>本部门2023年</w:t>
      </w:r>
      <w:r>
        <w:rPr>
          <w:rFonts w:hint="eastAsia" w:ascii="仿宋_GB2312" w:hAnsi="黑体" w:eastAsia="仿宋_GB2312"/>
          <w:color w:val="000000" w:themeColor="text1"/>
          <w:sz w:val="32"/>
          <w:szCs w:val="32"/>
          <w:u w:val="none"/>
        </w:rPr>
        <w:t>政府性基金支出</w:t>
      </w:r>
      <w:r>
        <w:rPr>
          <w:rFonts w:hint="eastAsia" w:ascii="仿宋_GB2312" w:hAnsi="黑体" w:eastAsia="仿宋_GB2312"/>
          <w:color w:val="000000" w:themeColor="text1"/>
          <w:sz w:val="32"/>
          <w:szCs w:val="32"/>
          <w:u w:val="none"/>
          <w:lang w:val="en-US" w:eastAsia="zh-CN"/>
        </w:rPr>
        <w:t>0万元，较上年增加（减少）0万元，增长（下降）0%。</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（五）国有资本经营情况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本单位2023年国有资本经营预算支出0万元，较上年增加（减少）0万元，增长（下降）0%。</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（六）机关运行经费等重要事项的说明</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u w:val="none"/>
        </w:rPr>
        <w:t>202</w:t>
      </w: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年</w:t>
      </w:r>
      <w:r>
        <w:rPr>
          <w:rFonts w:hint="eastAsia" w:ascii="仿宋_GB2312" w:hAnsi="黑体" w:eastAsia="仿宋_GB2312"/>
          <w:color w:val="000000" w:themeColor="text1"/>
          <w:sz w:val="32"/>
          <w:szCs w:val="32"/>
          <w:u w:val="none"/>
          <w:lang w:val="en-US" w:eastAsia="zh-CN"/>
        </w:rPr>
        <w:t>本</w:t>
      </w:r>
      <w:r>
        <w:rPr>
          <w:rFonts w:hint="eastAsia" w:ascii="仿宋_GB2312" w:hAnsi="黑体" w:eastAsia="仿宋_GB2312"/>
          <w:color w:val="000000" w:themeColor="text1"/>
          <w:sz w:val="32"/>
          <w:szCs w:val="32"/>
          <w:u w:val="none"/>
        </w:rPr>
        <w:t>部门机关运行</w:t>
      </w:r>
      <w:r>
        <w:rPr>
          <w:rFonts w:hint="eastAsia" w:ascii="仿宋_GB2312" w:hAnsi="黑体" w:eastAsia="仿宋_GB2312"/>
          <w:color w:val="000000" w:themeColor="text1"/>
          <w:sz w:val="32"/>
          <w:szCs w:val="32"/>
          <w:u w:val="none"/>
          <w:lang w:val="en-US" w:eastAsia="zh-CN"/>
        </w:rPr>
        <w:t>经</w:t>
      </w:r>
      <w:r>
        <w:rPr>
          <w:rFonts w:hint="eastAsia" w:ascii="仿宋_GB2312" w:hAnsi="黑体" w:eastAsia="仿宋_GB2312"/>
          <w:color w:val="000000" w:themeColor="text1"/>
          <w:sz w:val="32"/>
          <w:szCs w:val="32"/>
          <w:u w:val="none"/>
        </w:rPr>
        <w:t>费</w:t>
      </w:r>
      <w:r>
        <w:rPr>
          <w:rFonts w:hint="eastAsia" w:ascii="仿宋_GB2312" w:hAnsi="黑体" w:eastAsia="仿宋_GB2312"/>
          <w:color w:val="000000" w:themeColor="text1"/>
          <w:sz w:val="32"/>
          <w:szCs w:val="32"/>
          <w:u w:val="none"/>
          <w:lang w:val="en-US" w:eastAsia="zh-CN"/>
        </w:rPr>
        <w:t>为5.51</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较上年</w:t>
      </w:r>
      <w:r>
        <w:rPr>
          <w:rFonts w:hint="eastAsia" w:ascii="仿宋_GB2312" w:hAnsi="黑体" w:eastAsia="仿宋_GB2312"/>
          <w:color w:val="000000" w:themeColor="text1"/>
          <w:sz w:val="32"/>
          <w:szCs w:val="32"/>
          <w:u w:val="none"/>
        </w:rPr>
        <w:t>减少</w:t>
      </w:r>
      <w:r>
        <w:rPr>
          <w:rFonts w:hint="eastAsia" w:ascii="仿宋_GB2312" w:hAnsi="黑体" w:eastAsia="仿宋_GB2312"/>
          <w:color w:val="000000" w:themeColor="text1"/>
          <w:sz w:val="32"/>
          <w:szCs w:val="32"/>
          <w:u w:val="none"/>
          <w:lang w:val="en-US" w:eastAsia="zh-CN"/>
        </w:rPr>
        <w:t>15.90</w:t>
      </w:r>
      <w:r>
        <w:rPr>
          <w:rFonts w:hint="eastAsia" w:ascii="仿宋_GB2312" w:hAnsi="黑体" w:eastAsia="仿宋_GB2312"/>
          <w:color w:val="000000" w:themeColor="text1"/>
          <w:sz w:val="32"/>
          <w:szCs w:val="32"/>
          <w:u w:val="none"/>
        </w:rPr>
        <w:t>万元，下降</w:t>
      </w:r>
      <w:r>
        <w:rPr>
          <w:rFonts w:hint="eastAsia" w:ascii="仿宋_GB2312" w:hAnsi="黑体" w:eastAsia="仿宋_GB2312"/>
          <w:color w:val="000000" w:themeColor="text1"/>
          <w:sz w:val="32"/>
          <w:szCs w:val="32"/>
          <w:u w:val="none"/>
          <w:lang w:val="en-US" w:eastAsia="zh-CN"/>
        </w:rPr>
        <w:t>74.26</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减少的原因主要是</w:t>
      </w:r>
      <w:r>
        <w:rPr>
          <w:rFonts w:hint="eastAsia" w:ascii="仿宋_GB2312" w:hAnsi="仿宋_GB2312" w:eastAsia="仿宋_GB2312" w:cs="仿宋_GB2312"/>
          <w:b w:val="0"/>
          <w:bCs w:val="0"/>
          <w:color w:val="000000" w:themeColor="text1"/>
          <w:sz w:val="32"/>
          <w:szCs w:val="32"/>
          <w:highlight w:val="none"/>
          <w:lang w:val="en-US" w:eastAsia="zh-CN"/>
        </w:rPr>
        <w:t>经费科目调整</w:t>
      </w:r>
      <w:r>
        <w:rPr>
          <w:rFonts w:hint="eastAsia" w:ascii="仿宋_GB2312" w:hAnsi="黑体" w:eastAsia="仿宋_GB2312"/>
          <w:color w:val="000000" w:themeColor="text1"/>
          <w:sz w:val="32"/>
          <w:szCs w:val="32"/>
          <w:u w:val="none"/>
          <w:lang w:val="en-US" w:eastAsia="zh-CN"/>
        </w:rPr>
        <w:t>。</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lang w:val="en-US" w:eastAsia="zh-CN"/>
        </w:rPr>
      </w:pPr>
      <w:r>
        <w:rPr>
          <w:rFonts w:hint="eastAsia" w:ascii="楷体_GB2312" w:hAnsi="黑体" w:eastAsia="楷体_GB2312"/>
          <w:b/>
          <w:color w:val="000000" w:themeColor="text1"/>
          <w:sz w:val="32"/>
          <w:szCs w:val="32"/>
        </w:rPr>
        <w:t>（七）政府采购情况</w:t>
      </w:r>
      <w:r>
        <w:rPr>
          <w:rFonts w:hint="eastAsia" w:ascii="楷体_GB2312" w:hAnsi="黑体" w:eastAsia="楷体_GB2312"/>
          <w:b/>
          <w:color w:val="000000" w:themeColor="text1"/>
          <w:sz w:val="32"/>
          <w:szCs w:val="32"/>
          <w:lang w:val="en-US" w:eastAsia="zh-CN"/>
        </w:rPr>
        <w:t>说明</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rPr>
        <w:t>202</w:t>
      </w: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年政府采购</w:t>
      </w:r>
      <w:r>
        <w:rPr>
          <w:rFonts w:hint="eastAsia" w:ascii="仿宋_GB2312" w:hAnsi="黑体" w:eastAsia="仿宋_GB2312"/>
          <w:color w:val="000000" w:themeColor="text1"/>
          <w:sz w:val="32"/>
          <w:szCs w:val="32"/>
          <w:u w:val="none"/>
          <w:lang w:val="en-US" w:eastAsia="zh-CN"/>
        </w:rPr>
        <w:t>预算共安排</w:t>
      </w:r>
      <w:r>
        <w:rPr>
          <w:rFonts w:hint="eastAsia" w:ascii="仿宋_GB2312" w:hAnsi="仿宋_GB2312" w:eastAsia="仿宋_GB2312" w:cs="仿宋_GB2312"/>
          <w:b w:val="0"/>
          <w:bCs w:val="0"/>
          <w:color w:val="000000" w:themeColor="text1"/>
          <w:sz w:val="32"/>
          <w:szCs w:val="32"/>
          <w:lang w:val="en-US" w:eastAsia="zh-CN"/>
        </w:rPr>
        <w:t>0.30</w:t>
      </w:r>
      <w:r>
        <w:rPr>
          <w:rFonts w:hint="eastAsia" w:ascii="仿宋_GB2312" w:hAnsi="黑体" w:eastAsia="仿宋_GB2312"/>
          <w:color w:val="000000" w:themeColor="text1"/>
          <w:sz w:val="32"/>
          <w:szCs w:val="32"/>
          <w:u w:val="none"/>
        </w:rPr>
        <w:t>万元，其中：货物预算</w:t>
      </w:r>
      <w:r>
        <w:rPr>
          <w:rFonts w:hint="eastAsia" w:ascii="仿宋_GB2312" w:hAnsi="仿宋_GB2312" w:eastAsia="仿宋_GB2312" w:cs="仿宋_GB2312"/>
          <w:b w:val="0"/>
          <w:bCs w:val="0"/>
          <w:color w:val="000000" w:themeColor="text1"/>
          <w:sz w:val="32"/>
          <w:szCs w:val="32"/>
          <w:lang w:val="en-US" w:eastAsia="zh-CN"/>
        </w:rPr>
        <w:t>0.30</w:t>
      </w:r>
      <w:r>
        <w:rPr>
          <w:rFonts w:hint="eastAsia" w:ascii="仿宋_GB2312" w:hAnsi="黑体" w:eastAsia="仿宋_GB2312"/>
          <w:color w:val="000000" w:themeColor="text1"/>
          <w:sz w:val="32"/>
          <w:szCs w:val="32"/>
          <w:u w:val="none"/>
        </w:rPr>
        <w:t>万元。</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（八）国有资产占有使用情况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rPr>
        <w:t>截至202</w:t>
      </w:r>
      <w:r>
        <w:rPr>
          <w:rFonts w:hint="eastAsia" w:ascii="仿宋_GB2312" w:hAnsi="黑体" w:eastAsia="仿宋_GB2312"/>
          <w:color w:val="000000" w:themeColor="text1"/>
          <w:sz w:val="32"/>
          <w:szCs w:val="32"/>
          <w:u w:val="none"/>
          <w:lang w:val="en-US" w:eastAsia="zh-CN"/>
        </w:rPr>
        <w:t>2</w:t>
      </w:r>
      <w:r>
        <w:rPr>
          <w:rFonts w:hint="eastAsia" w:ascii="仿宋_GB2312" w:hAnsi="黑体" w:eastAsia="仿宋_GB2312"/>
          <w:color w:val="000000" w:themeColor="text1"/>
          <w:sz w:val="32"/>
          <w:szCs w:val="32"/>
          <w:u w:val="none"/>
        </w:rPr>
        <w:t>年</w:t>
      </w:r>
      <w:r>
        <w:rPr>
          <w:rFonts w:hint="eastAsia" w:ascii="仿宋_GB2312" w:hAnsi="黑体" w:eastAsia="仿宋_GB2312"/>
          <w:color w:val="000000" w:themeColor="text1"/>
          <w:sz w:val="32"/>
          <w:szCs w:val="32"/>
          <w:u w:val="none"/>
          <w:lang w:val="en-US" w:eastAsia="zh-CN"/>
        </w:rPr>
        <w:t>12</w:t>
      </w:r>
      <w:r>
        <w:rPr>
          <w:rFonts w:hint="eastAsia" w:ascii="仿宋_GB2312" w:hAnsi="黑体" w:eastAsia="仿宋_GB2312"/>
          <w:color w:val="000000" w:themeColor="text1"/>
          <w:sz w:val="32"/>
          <w:szCs w:val="32"/>
          <w:u w:val="none"/>
        </w:rPr>
        <w:t>月31日</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部门共有车辆</w:t>
      </w:r>
      <w:r>
        <w:rPr>
          <w:rFonts w:hint="eastAsia" w:ascii="仿宋_GB2312" w:hAnsi="黑体" w:eastAsia="仿宋_GB2312"/>
          <w:color w:val="000000" w:themeColor="text1"/>
          <w:sz w:val="32"/>
          <w:szCs w:val="32"/>
          <w:u w:val="none"/>
          <w:lang w:val="en-US" w:eastAsia="zh-CN"/>
        </w:rPr>
        <w:t>0</w:t>
      </w:r>
      <w:r>
        <w:rPr>
          <w:rFonts w:hint="eastAsia" w:ascii="仿宋_GB2312" w:hAnsi="黑体" w:eastAsia="仿宋_GB2312"/>
          <w:color w:val="000000" w:themeColor="text1"/>
          <w:sz w:val="32"/>
          <w:szCs w:val="32"/>
          <w:u w:val="none"/>
        </w:rPr>
        <w:t>辆。</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u w:val="none"/>
          <w:lang w:val="en-US" w:eastAsia="zh-CN"/>
        </w:rPr>
      </w:pPr>
      <w:r>
        <w:rPr>
          <w:rFonts w:hint="eastAsia" w:ascii="仿宋_GB2312" w:hAnsi="黑体" w:eastAsia="仿宋_GB2312"/>
          <w:color w:val="000000" w:themeColor="text1"/>
          <w:sz w:val="32"/>
          <w:szCs w:val="32"/>
          <w:u w:val="none"/>
        </w:rPr>
        <w:t>202</w:t>
      </w: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年部门预算安排购置车辆</w:t>
      </w:r>
      <w:r>
        <w:rPr>
          <w:rFonts w:hint="eastAsia" w:ascii="仿宋_GB2312" w:hAnsi="黑体" w:eastAsia="仿宋_GB2312"/>
          <w:color w:val="000000" w:themeColor="text1"/>
          <w:sz w:val="32"/>
          <w:szCs w:val="32"/>
          <w:u w:val="none"/>
          <w:lang w:val="en-US" w:eastAsia="zh-CN"/>
        </w:rPr>
        <w:t>0</w:t>
      </w:r>
      <w:r>
        <w:rPr>
          <w:rFonts w:hint="eastAsia" w:ascii="仿宋_GB2312" w:hAnsi="黑体" w:eastAsia="仿宋_GB2312"/>
          <w:color w:val="000000" w:themeColor="text1"/>
          <w:sz w:val="32"/>
          <w:szCs w:val="32"/>
          <w:u w:val="none"/>
        </w:rPr>
        <w:t>辆</w:t>
      </w:r>
      <w:r>
        <w:rPr>
          <w:rFonts w:hint="eastAsia" w:ascii="仿宋_GB2312" w:hAnsi="黑体" w:eastAsia="仿宋_GB2312"/>
          <w:color w:val="000000" w:themeColor="text1"/>
          <w:sz w:val="32"/>
          <w:szCs w:val="32"/>
          <w:u w:val="none"/>
          <w:lang w:val="en-US" w:eastAsia="zh-CN"/>
        </w:rPr>
        <w:t>。</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楷体_GB2312" w:hAnsi="黑体" w:eastAsia="楷体_GB2312"/>
          <w:b/>
          <w:color w:val="000000" w:themeColor="text1"/>
          <w:sz w:val="32"/>
          <w:szCs w:val="32"/>
        </w:rPr>
      </w:pPr>
      <w:r>
        <w:rPr>
          <w:rFonts w:hint="eastAsia" w:ascii="楷体_GB2312" w:hAnsi="黑体" w:eastAsia="楷体_GB2312"/>
          <w:b/>
          <w:color w:val="000000" w:themeColor="text1"/>
          <w:sz w:val="32"/>
          <w:szCs w:val="32"/>
        </w:rPr>
        <w:t>（九）项目</w:t>
      </w:r>
      <w:r>
        <w:rPr>
          <w:rFonts w:hint="eastAsia" w:ascii="楷体_GB2312" w:hAnsi="黑体" w:eastAsia="楷体_GB2312"/>
          <w:b/>
          <w:color w:val="000000" w:themeColor="text1"/>
          <w:sz w:val="32"/>
          <w:szCs w:val="32"/>
          <w:lang w:val="en-US" w:eastAsia="zh-CN"/>
        </w:rPr>
        <w:t>绩效</w:t>
      </w:r>
      <w:r>
        <w:rPr>
          <w:rFonts w:hint="eastAsia" w:ascii="楷体_GB2312" w:hAnsi="黑体" w:eastAsia="楷体_GB2312"/>
          <w:b/>
          <w:color w:val="000000" w:themeColor="text1"/>
          <w:sz w:val="32"/>
          <w:szCs w:val="32"/>
        </w:rPr>
        <w:t>情况</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3" w:firstLineChars="200"/>
        <w:jc w:val="both"/>
        <w:rPr>
          <w:rFonts w:hint="eastAsia" w:ascii="仿宋_GB2312" w:hAnsi="黑体" w:eastAsia="仿宋_GB2312"/>
          <w:b/>
          <w:color w:val="000000" w:themeColor="text1"/>
          <w:sz w:val="32"/>
          <w:szCs w:val="32"/>
          <w:lang w:eastAsia="zh-CN"/>
        </w:rPr>
      </w:pPr>
      <w:r>
        <w:rPr>
          <w:rFonts w:hint="eastAsia" w:ascii="仿宋_GB2312" w:hAnsi="黑体" w:eastAsia="仿宋_GB2312"/>
          <w:b/>
          <w:color w:val="000000" w:themeColor="text1"/>
          <w:sz w:val="32"/>
          <w:szCs w:val="32"/>
          <w:lang w:val="en-US" w:eastAsia="zh-CN"/>
        </w:rPr>
        <w:t>工商联事务工作经费项目</w:t>
      </w:r>
      <w:r>
        <w:rPr>
          <w:rFonts w:hint="eastAsia" w:ascii="仿宋_GB2312" w:hAnsi="黑体" w:eastAsia="仿宋_GB2312"/>
          <w:b/>
          <w:color w:val="000000" w:themeColor="text1"/>
          <w:sz w:val="32"/>
          <w:szCs w:val="32"/>
          <w:lang w:eastAsia="zh-CN"/>
        </w:rPr>
        <w:t>：</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rPr>
        <w:t xml:space="preserve">   1）项目概述</w:t>
      </w:r>
      <w:r>
        <w:rPr>
          <w:rFonts w:hint="eastAsia" w:ascii="仿宋_GB2312" w:hAnsi="黑体" w:eastAsia="仿宋_GB2312"/>
          <w:color w:val="000000" w:themeColor="text1"/>
          <w:sz w:val="32"/>
          <w:szCs w:val="32"/>
          <w:lang w:eastAsia="zh-CN"/>
        </w:rPr>
        <w:t>：保障工商联机关正常运转，完成日常工作任务。</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rPr>
        <w:t xml:space="preserve">   2）实施主体</w:t>
      </w:r>
      <w:r>
        <w:rPr>
          <w:rFonts w:hint="eastAsia" w:ascii="仿宋_GB2312" w:hAnsi="黑体" w:eastAsia="仿宋_GB2312"/>
          <w:color w:val="000000" w:themeColor="text1"/>
          <w:sz w:val="32"/>
          <w:szCs w:val="32"/>
          <w:lang w:eastAsia="zh-CN"/>
        </w:rPr>
        <w:t>：南昌市东湖区工商业联合会</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rPr>
        <w:t xml:space="preserve">   3）实施周期</w:t>
      </w: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lang w:val="en-US" w:eastAsia="zh-CN"/>
        </w:rPr>
        <w:t>2023年1月—2023年12月</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rPr>
        <w:t xml:space="preserve">   4）年度预算安排</w:t>
      </w: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lang w:val="en-US" w:eastAsia="zh-CN"/>
        </w:rPr>
        <w:t>2023年财政安排预算37.02万元。</w:t>
      </w:r>
    </w:p>
    <w:p>
      <w:pPr>
        <w:pStyle w:val="9"/>
        <w:keepNext w:val="0"/>
        <w:keepLines w:val="0"/>
        <w:pageBreakBefore w:val="0"/>
        <w:widowControl w:val="0"/>
        <w:kinsoku/>
        <w:wordWrap/>
        <w:overflowPunct/>
        <w:topLinePunct/>
        <w:autoSpaceDE/>
        <w:autoSpaceDN/>
        <w:bidi w:val="0"/>
        <w:spacing w:line="580" w:lineRule="exact"/>
        <w:ind w:left="0" w:leftChars="0" w:right="0" w:rightChars="0" w:firstLine="640" w:firstLineChars="200"/>
        <w:jc w:val="both"/>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rPr>
        <w:t xml:space="preserve">   5）绩效目标和指标</w:t>
      </w:r>
      <w:r>
        <w:rPr>
          <w:rFonts w:hint="eastAsia" w:ascii="仿宋_GB2312" w:hAnsi="黑体" w:eastAsia="仿宋_GB2312"/>
          <w:color w:val="000000" w:themeColor="text1"/>
          <w:sz w:val="32"/>
          <w:szCs w:val="32"/>
          <w:lang w:eastAsia="zh-CN"/>
        </w:rPr>
        <w:t>：</w:t>
      </w:r>
    </w:p>
    <w:tbl>
      <w:tblPr>
        <w:tblStyle w:val="6"/>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67"/>
        <w:gridCol w:w="1410"/>
        <w:gridCol w:w="3855"/>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trPr>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themeColor="text1"/>
                <w:sz w:val="32"/>
                <w:szCs w:val="32"/>
                <w:u w:val="none"/>
              </w:rPr>
            </w:pPr>
            <w:r>
              <w:rPr>
                <w:rFonts w:hint="eastAsia" w:ascii="仿宋_GB2312" w:hAnsi="仿宋_GB2312" w:eastAsia="仿宋_GB2312" w:cs="仿宋_GB2312"/>
                <w:b/>
                <w:i w:val="0"/>
                <w:snapToGrid w:val="0"/>
                <w:color w:val="000000" w:themeColor="text1"/>
                <w:kern w:val="0"/>
                <w:sz w:val="32"/>
                <w:szCs w:val="32"/>
                <w:u w:val="none"/>
                <w:lang w:val="en-US" w:eastAsia="zh-CN" w:bidi="ar"/>
              </w:rPr>
              <w:t>一级指标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themeColor="text1"/>
                <w:sz w:val="32"/>
                <w:szCs w:val="32"/>
                <w:u w:val="none"/>
              </w:rPr>
            </w:pPr>
            <w:r>
              <w:rPr>
                <w:rFonts w:hint="eastAsia" w:ascii="仿宋_GB2312" w:hAnsi="仿宋_GB2312" w:eastAsia="仿宋_GB2312" w:cs="仿宋_GB2312"/>
                <w:b/>
                <w:i w:val="0"/>
                <w:snapToGrid w:val="0"/>
                <w:color w:val="000000" w:themeColor="text1"/>
                <w:kern w:val="0"/>
                <w:sz w:val="32"/>
                <w:szCs w:val="32"/>
                <w:u w:val="none"/>
                <w:lang w:val="en-US" w:eastAsia="zh-CN" w:bidi="ar"/>
              </w:rPr>
              <w:t>二级指标</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themeColor="text1"/>
                <w:sz w:val="32"/>
                <w:szCs w:val="32"/>
                <w:u w:val="none"/>
              </w:rPr>
            </w:pPr>
            <w:r>
              <w:rPr>
                <w:rFonts w:hint="eastAsia" w:ascii="仿宋_GB2312" w:hAnsi="仿宋_GB2312" w:eastAsia="仿宋_GB2312" w:cs="仿宋_GB2312"/>
                <w:b/>
                <w:i w:val="0"/>
                <w:snapToGrid w:val="0"/>
                <w:color w:val="000000" w:themeColor="text1"/>
                <w:kern w:val="0"/>
                <w:sz w:val="32"/>
                <w:szCs w:val="32"/>
                <w:u w:val="none"/>
                <w:lang w:val="en-US" w:eastAsia="zh-CN" w:bidi="ar"/>
              </w:rPr>
              <w:t>三级指标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themeColor="text1"/>
                <w:sz w:val="32"/>
                <w:szCs w:val="32"/>
                <w:u w:val="none"/>
              </w:rPr>
            </w:pPr>
            <w:r>
              <w:rPr>
                <w:rFonts w:hint="eastAsia" w:ascii="仿宋_GB2312" w:hAnsi="仿宋_GB2312" w:eastAsia="仿宋_GB2312" w:cs="仿宋_GB2312"/>
                <w:b/>
                <w:i w:val="0"/>
                <w:snapToGrid w:val="0"/>
                <w:color w:val="000000" w:themeColor="text1"/>
                <w:kern w:val="0"/>
                <w:sz w:val="32"/>
                <w:szCs w:val="3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3" w:hRule="atLeast"/>
        </w:trPr>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成本指标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经济成本指标</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经济成本控制在预算内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3" w:hRule="atLeast"/>
        </w:trPr>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产出指标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数量指标</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外出招商次数</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3" w:hRule="atLeast"/>
        </w:trPr>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开展非公有制经济人士培训</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3" w:hRule="atLeast"/>
        </w:trPr>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质量指标</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加强和改进非公有制经济人士思想政治工作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3" w:hRule="atLeast"/>
        </w:trPr>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促进“两个健康”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3" w:hRule="atLeast"/>
        </w:trPr>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时效指标</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2023年12月份完成</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3" w:hRule="atLeast"/>
        </w:trPr>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效益指标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经济效益指标</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增加财政税收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3" w:hRule="atLeast"/>
        </w:trPr>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社会效益指标</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增强非公有制经济人士对中国特色社会主义的信念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 w:hRule="atLeast"/>
        </w:trPr>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为辖区的经济发展发挥重要作用</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3" w:hRule="atLeast"/>
        </w:trPr>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32"/>
                <w:szCs w:val="32"/>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为辖区稳定发展做出贡献</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3" w:hRule="atLeast"/>
        </w:trPr>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满意度指标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服务对象满意度</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非公有制经济人士满意度</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32"/>
                <w:szCs w:val="32"/>
                <w:u w:val="none"/>
              </w:rPr>
            </w:pPr>
            <w:r>
              <w:rPr>
                <w:rFonts w:hint="eastAsia" w:ascii="仿宋_GB2312" w:hAnsi="仿宋_GB2312" w:eastAsia="仿宋_GB2312" w:cs="仿宋_GB2312"/>
                <w:i w:val="0"/>
                <w:snapToGrid w:val="0"/>
                <w:color w:val="000000" w:themeColor="text1"/>
                <w:kern w:val="0"/>
                <w:sz w:val="32"/>
                <w:szCs w:val="32"/>
                <w:u w:val="none"/>
                <w:lang w:val="en-US" w:eastAsia="zh-CN" w:bidi="ar"/>
              </w:rPr>
              <w:t>≥95%</w:t>
            </w:r>
          </w:p>
        </w:tc>
      </w:tr>
    </w:tbl>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黑体" w:hAnsi="黑体" w:eastAsia="黑体"/>
          <w:color w:val="000000" w:themeColor="text1"/>
          <w:sz w:val="32"/>
          <w:szCs w:val="32"/>
        </w:rPr>
      </w:pPr>
      <w:r>
        <w:rPr>
          <w:rFonts w:hint="eastAsia" w:ascii="黑体" w:hAnsi="黑体" w:eastAsia="黑体"/>
          <w:color w:val="000000" w:themeColor="text1"/>
          <w:sz w:val="32"/>
          <w:szCs w:val="32"/>
        </w:rPr>
        <w:t>二、“三公”经费预算情况说明</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rPr>
        <w:t>202</w:t>
      </w: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年</w:t>
      </w:r>
      <w:r>
        <w:rPr>
          <w:rFonts w:hint="eastAsia" w:ascii="仿宋_GB2312" w:hAnsi="黑体" w:eastAsia="仿宋_GB2312"/>
          <w:color w:val="000000" w:themeColor="text1"/>
          <w:sz w:val="32"/>
          <w:szCs w:val="32"/>
          <w:u w:val="none"/>
          <w:lang w:val="en-US" w:eastAsia="zh-CN"/>
        </w:rPr>
        <w:t>本部门</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三公</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经费</w:t>
      </w:r>
      <w:r>
        <w:rPr>
          <w:rFonts w:hint="eastAsia" w:ascii="仿宋_GB2312" w:hAnsi="黑体" w:eastAsia="仿宋_GB2312"/>
          <w:color w:val="000000" w:themeColor="text1"/>
          <w:sz w:val="32"/>
          <w:szCs w:val="32"/>
          <w:u w:val="none"/>
          <w:lang w:val="en-US" w:eastAsia="zh-CN"/>
        </w:rPr>
        <w:t>年初</w:t>
      </w:r>
      <w:r>
        <w:rPr>
          <w:rFonts w:hint="eastAsia" w:ascii="仿宋_GB2312" w:hAnsi="黑体" w:eastAsia="仿宋_GB2312"/>
          <w:color w:val="000000" w:themeColor="text1"/>
          <w:sz w:val="32"/>
          <w:szCs w:val="32"/>
          <w:u w:val="none"/>
        </w:rPr>
        <w:t>预算安排</w:t>
      </w:r>
      <w:r>
        <w:rPr>
          <w:rFonts w:hint="eastAsia" w:ascii="仿宋_GB2312" w:hAnsi="仿宋_GB2312" w:eastAsia="仿宋_GB2312" w:cs="仿宋_GB2312"/>
          <w:b w:val="0"/>
          <w:bCs w:val="0"/>
          <w:color w:val="000000" w:themeColor="text1"/>
          <w:sz w:val="32"/>
          <w:szCs w:val="32"/>
          <w:lang w:val="en-US" w:eastAsia="zh-CN"/>
        </w:rPr>
        <w:t>0.80</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其中：</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lang w:val="en-US" w:eastAsia="zh-CN"/>
        </w:rPr>
        <w:t>1.</w:t>
      </w:r>
      <w:r>
        <w:rPr>
          <w:rFonts w:hint="eastAsia" w:ascii="仿宋_GB2312" w:hAnsi="黑体" w:eastAsia="仿宋_GB2312"/>
          <w:color w:val="000000" w:themeColor="text1"/>
          <w:sz w:val="32"/>
          <w:szCs w:val="32"/>
          <w:u w:val="none"/>
        </w:rPr>
        <w:t>因公出国</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val="en-US" w:eastAsia="zh-CN"/>
        </w:rPr>
        <w:t>经费0</w:t>
      </w:r>
      <w:r>
        <w:rPr>
          <w:rFonts w:hint="eastAsia" w:ascii="仿宋_GB2312" w:hAnsi="黑体" w:eastAsia="仿宋_GB2312"/>
          <w:color w:val="000000" w:themeColor="text1"/>
          <w:sz w:val="32"/>
          <w:szCs w:val="32"/>
          <w:u w:val="none"/>
        </w:rPr>
        <w:t>万元，比上年增</w:t>
      </w:r>
      <w:r>
        <w:rPr>
          <w:rFonts w:hint="eastAsia" w:ascii="仿宋_GB2312" w:hAnsi="黑体" w:eastAsia="仿宋_GB2312"/>
          <w:color w:val="000000" w:themeColor="text1"/>
          <w:sz w:val="32"/>
          <w:szCs w:val="32"/>
          <w:u w:val="none"/>
          <w:lang w:val="en-US" w:eastAsia="zh-CN"/>
        </w:rPr>
        <w:t>加</w:t>
      </w:r>
      <w:r>
        <w:rPr>
          <w:rFonts w:hint="eastAsia" w:ascii="仿宋_GB2312" w:hAnsi="黑体" w:eastAsia="仿宋_GB2312"/>
          <w:color w:val="000000" w:themeColor="text1"/>
          <w:sz w:val="32"/>
          <w:szCs w:val="32"/>
          <w:u w:val="none"/>
        </w:rPr>
        <w:t>（减</w:t>
      </w:r>
      <w:r>
        <w:rPr>
          <w:rFonts w:hint="eastAsia" w:ascii="仿宋_GB2312" w:hAnsi="黑体" w:eastAsia="仿宋_GB2312"/>
          <w:color w:val="000000" w:themeColor="text1"/>
          <w:sz w:val="32"/>
          <w:szCs w:val="32"/>
          <w:u w:val="none"/>
          <w:lang w:val="en-US" w:eastAsia="zh-CN"/>
        </w:rPr>
        <w:t>少</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0</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增</w:t>
      </w:r>
      <w:r>
        <w:rPr>
          <w:rFonts w:hint="eastAsia" w:ascii="仿宋_GB2312" w:hAnsi="黑体" w:eastAsia="仿宋_GB2312"/>
          <w:color w:val="000000" w:themeColor="text1"/>
          <w:sz w:val="32"/>
          <w:szCs w:val="32"/>
          <w:u w:val="none"/>
          <w:lang w:val="en-US" w:eastAsia="zh-CN"/>
        </w:rPr>
        <w:t>加</w:t>
      </w:r>
      <w:r>
        <w:rPr>
          <w:rFonts w:hint="eastAsia" w:ascii="仿宋_GB2312" w:hAnsi="黑体" w:eastAsia="仿宋_GB2312"/>
          <w:color w:val="000000" w:themeColor="text1"/>
          <w:sz w:val="32"/>
          <w:szCs w:val="32"/>
          <w:u w:val="none"/>
        </w:rPr>
        <w:t>（减</w:t>
      </w:r>
      <w:r>
        <w:rPr>
          <w:rFonts w:hint="eastAsia" w:ascii="仿宋_GB2312" w:hAnsi="黑体" w:eastAsia="仿宋_GB2312"/>
          <w:color w:val="000000" w:themeColor="text1"/>
          <w:sz w:val="32"/>
          <w:szCs w:val="32"/>
          <w:u w:val="none"/>
          <w:lang w:val="en-US" w:eastAsia="zh-CN"/>
        </w:rPr>
        <w:t>少</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的</w:t>
      </w:r>
      <w:r>
        <w:rPr>
          <w:rFonts w:hint="eastAsia" w:ascii="仿宋_GB2312" w:hAnsi="黑体" w:eastAsia="仿宋_GB2312"/>
          <w:color w:val="000000" w:themeColor="text1"/>
          <w:sz w:val="32"/>
          <w:szCs w:val="32"/>
          <w:u w:val="none"/>
        </w:rPr>
        <w:t>原因</w:t>
      </w:r>
      <w:r>
        <w:rPr>
          <w:rFonts w:hint="eastAsia" w:ascii="仿宋_GB2312" w:hAnsi="黑体" w:eastAsia="仿宋_GB2312"/>
          <w:color w:val="000000" w:themeColor="text1"/>
          <w:sz w:val="32"/>
          <w:szCs w:val="32"/>
          <w:u w:val="none"/>
          <w:lang w:val="en-US" w:eastAsia="zh-CN"/>
        </w:rPr>
        <w:t>主要</w:t>
      </w:r>
      <w:r>
        <w:rPr>
          <w:rFonts w:hint="eastAsia" w:ascii="仿宋_GB2312" w:hAnsi="黑体" w:eastAsia="仿宋_GB2312"/>
          <w:color w:val="000000" w:themeColor="text1"/>
          <w:sz w:val="32"/>
          <w:szCs w:val="32"/>
          <w:u w:val="none"/>
        </w:rPr>
        <w:t>是：</w:t>
      </w:r>
      <w:r>
        <w:rPr>
          <w:rFonts w:hint="eastAsia" w:ascii="仿宋_GB2312" w:hAnsi="黑体" w:eastAsia="仿宋_GB2312"/>
          <w:color w:val="000000" w:themeColor="text1"/>
          <w:sz w:val="32"/>
          <w:szCs w:val="32"/>
          <w:u w:val="none"/>
          <w:lang w:val="en-US" w:eastAsia="zh-CN"/>
        </w:rPr>
        <w:t>无此项安排</w:t>
      </w:r>
      <w:r>
        <w:rPr>
          <w:rFonts w:hint="eastAsia" w:ascii="仿宋_GB2312" w:hAnsi="黑体" w:eastAsia="仿宋_GB2312"/>
          <w:color w:val="000000" w:themeColor="text1"/>
          <w:sz w:val="32"/>
          <w:szCs w:val="32"/>
          <w:u w:val="none"/>
        </w:rPr>
        <w:t>。</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lang w:val="en-US" w:eastAsia="zh-CN"/>
        </w:rPr>
        <w:t>2.</w:t>
      </w:r>
      <w:r>
        <w:rPr>
          <w:rFonts w:hint="eastAsia" w:ascii="仿宋_GB2312" w:hAnsi="黑体" w:eastAsia="仿宋_GB2312"/>
          <w:color w:val="000000" w:themeColor="text1"/>
          <w:sz w:val="32"/>
          <w:szCs w:val="32"/>
          <w:u w:val="none"/>
        </w:rPr>
        <w:t>公务接待</w:t>
      </w:r>
      <w:r>
        <w:rPr>
          <w:rFonts w:hint="eastAsia" w:ascii="仿宋_GB2312" w:hAnsi="黑体" w:eastAsia="仿宋_GB2312"/>
          <w:color w:val="000000" w:themeColor="text1"/>
          <w:sz w:val="32"/>
          <w:szCs w:val="32"/>
          <w:u w:val="none"/>
          <w:lang w:val="en-US" w:eastAsia="zh-CN"/>
        </w:rPr>
        <w:t>费</w:t>
      </w:r>
      <w:r>
        <w:rPr>
          <w:rFonts w:hint="eastAsia" w:ascii="仿宋_GB2312" w:hAnsi="仿宋_GB2312" w:eastAsia="仿宋_GB2312" w:cs="仿宋_GB2312"/>
          <w:b w:val="0"/>
          <w:bCs w:val="0"/>
          <w:color w:val="000000" w:themeColor="text1"/>
          <w:sz w:val="32"/>
          <w:szCs w:val="32"/>
          <w:lang w:val="en-US" w:eastAsia="zh-CN"/>
        </w:rPr>
        <w:t>0.80</w:t>
      </w:r>
      <w:r>
        <w:rPr>
          <w:rFonts w:hint="eastAsia" w:ascii="仿宋_GB2312" w:hAnsi="黑体" w:eastAsia="仿宋_GB2312"/>
          <w:color w:val="000000" w:themeColor="text1"/>
          <w:sz w:val="32"/>
          <w:szCs w:val="32"/>
          <w:u w:val="none"/>
        </w:rPr>
        <w:t>万元，比上年减</w:t>
      </w:r>
      <w:r>
        <w:rPr>
          <w:rFonts w:hint="eastAsia" w:ascii="仿宋_GB2312" w:hAnsi="黑体" w:eastAsia="仿宋_GB2312"/>
          <w:color w:val="000000" w:themeColor="text1"/>
          <w:sz w:val="32"/>
          <w:szCs w:val="32"/>
          <w:u w:val="none"/>
          <w:lang w:val="en-US" w:eastAsia="zh-CN"/>
        </w:rPr>
        <w:t>少0.60</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减</w:t>
      </w:r>
      <w:r>
        <w:rPr>
          <w:rFonts w:hint="eastAsia" w:ascii="仿宋_GB2312" w:hAnsi="黑体" w:eastAsia="仿宋_GB2312"/>
          <w:color w:val="000000" w:themeColor="text1"/>
          <w:sz w:val="32"/>
          <w:szCs w:val="32"/>
          <w:u w:val="none"/>
          <w:lang w:val="en-US" w:eastAsia="zh-CN"/>
        </w:rPr>
        <w:t>少的</w:t>
      </w:r>
      <w:r>
        <w:rPr>
          <w:rFonts w:hint="eastAsia" w:ascii="仿宋_GB2312" w:hAnsi="黑体" w:eastAsia="仿宋_GB2312"/>
          <w:color w:val="000000" w:themeColor="text1"/>
          <w:sz w:val="32"/>
          <w:szCs w:val="32"/>
          <w:u w:val="none"/>
        </w:rPr>
        <w:t>原因</w:t>
      </w:r>
      <w:r>
        <w:rPr>
          <w:rFonts w:hint="eastAsia" w:ascii="仿宋_GB2312" w:hAnsi="黑体" w:eastAsia="仿宋_GB2312"/>
          <w:color w:val="000000" w:themeColor="text1"/>
          <w:sz w:val="32"/>
          <w:szCs w:val="32"/>
          <w:u w:val="none"/>
          <w:lang w:val="en-US" w:eastAsia="zh-CN"/>
        </w:rPr>
        <w:t>主要</w:t>
      </w:r>
      <w:r>
        <w:rPr>
          <w:rFonts w:hint="eastAsia" w:ascii="仿宋_GB2312" w:hAnsi="黑体" w:eastAsia="仿宋_GB2312"/>
          <w:color w:val="000000" w:themeColor="text1"/>
          <w:sz w:val="32"/>
          <w:szCs w:val="32"/>
          <w:u w:val="none"/>
        </w:rPr>
        <w:t>是：</w:t>
      </w:r>
      <w:r>
        <w:rPr>
          <w:rFonts w:hint="eastAsia" w:ascii="仿宋_GB2312" w:hAnsi="黑体" w:eastAsia="仿宋_GB2312"/>
          <w:color w:val="000000" w:themeColor="text1"/>
          <w:sz w:val="32"/>
          <w:szCs w:val="32"/>
          <w:u w:val="none"/>
          <w:lang w:val="en-US" w:eastAsia="zh-CN"/>
        </w:rPr>
        <w:t>按照政策尽量要求压缩三公经费</w:t>
      </w:r>
      <w:r>
        <w:rPr>
          <w:rFonts w:hint="eastAsia" w:ascii="仿宋_GB2312" w:hAnsi="黑体" w:eastAsia="仿宋_GB2312"/>
          <w:color w:val="000000" w:themeColor="text1"/>
          <w:sz w:val="32"/>
          <w:szCs w:val="32"/>
          <w:u w:val="none"/>
        </w:rPr>
        <w:t>。</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lang w:val="en-US" w:eastAsia="zh-CN"/>
        </w:rPr>
        <w:t>3.</w:t>
      </w:r>
      <w:r>
        <w:rPr>
          <w:rFonts w:hint="eastAsia" w:ascii="仿宋_GB2312" w:hAnsi="黑体" w:eastAsia="仿宋_GB2312"/>
          <w:color w:val="000000" w:themeColor="text1"/>
          <w:sz w:val="32"/>
          <w:szCs w:val="32"/>
          <w:u w:val="none"/>
        </w:rPr>
        <w:t>公务用车运行</w:t>
      </w:r>
      <w:r>
        <w:rPr>
          <w:rFonts w:hint="eastAsia" w:ascii="仿宋_GB2312" w:hAnsi="黑体" w:eastAsia="仿宋_GB2312"/>
          <w:color w:val="000000" w:themeColor="text1"/>
          <w:sz w:val="32"/>
          <w:szCs w:val="32"/>
          <w:u w:val="none"/>
          <w:lang w:val="en-US" w:eastAsia="zh-CN"/>
        </w:rPr>
        <w:t>维护费0</w:t>
      </w:r>
      <w:r>
        <w:rPr>
          <w:rFonts w:hint="eastAsia" w:ascii="仿宋_GB2312" w:hAnsi="黑体" w:eastAsia="仿宋_GB2312"/>
          <w:color w:val="000000" w:themeColor="text1"/>
          <w:sz w:val="32"/>
          <w:szCs w:val="32"/>
          <w:u w:val="none"/>
        </w:rPr>
        <w:t>万元，比上年增</w:t>
      </w:r>
      <w:r>
        <w:rPr>
          <w:rFonts w:hint="eastAsia" w:ascii="仿宋_GB2312" w:hAnsi="黑体" w:eastAsia="仿宋_GB2312"/>
          <w:color w:val="000000" w:themeColor="text1"/>
          <w:sz w:val="32"/>
          <w:szCs w:val="32"/>
          <w:u w:val="none"/>
          <w:lang w:val="en-US" w:eastAsia="zh-CN"/>
        </w:rPr>
        <w:t>加</w:t>
      </w:r>
      <w:r>
        <w:rPr>
          <w:rFonts w:hint="eastAsia" w:ascii="仿宋_GB2312" w:hAnsi="黑体" w:eastAsia="仿宋_GB2312"/>
          <w:color w:val="000000" w:themeColor="text1"/>
          <w:sz w:val="32"/>
          <w:szCs w:val="32"/>
          <w:u w:val="none"/>
        </w:rPr>
        <w:t>（减</w:t>
      </w:r>
      <w:r>
        <w:rPr>
          <w:rFonts w:hint="eastAsia" w:ascii="仿宋_GB2312" w:hAnsi="黑体" w:eastAsia="仿宋_GB2312"/>
          <w:color w:val="000000" w:themeColor="text1"/>
          <w:sz w:val="32"/>
          <w:szCs w:val="32"/>
          <w:u w:val="none"/>
          <w:lang w:val="en-US" w:eastAsia="zh-CN"/>
        </w:rPr>
        <w:t>少</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0</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增</w:t>
      </w:r>
      <w:r>
        <w:rPr>
          <w:rFonts w:hint="eastAsia" w:ascii="仿宋_GB2312" w:hAnsi="黑体" w:eastAsia="仿宋_GB2312"/>
          <w:color w:val="000000" w:themeColor="text1"/>
          <w:sz w:val="32"/>
          <w:szCs w:val="32"/>
          <w:u w:val="none"/>
          <w:lang w:val="en-US" w:eastAsia="zh-CN"/>
        </w:rPr>
        <w:t>加</w:t>
      </w:r>
      <w:r>
        <w:rPr>
          <w:rFonts w:hint="eastAsia" w:ascii="仿宋_GB2312" w:hAnsi="黑体" w:eastAsia="仿宋_GB2312"/>
          <w:color w:val="000000" w:themeColor="text1"/>
          <w:sz w:val="32"/>
          <w:szCs w:val="32"/>
          <w:u w:val="none"/>
        </w:rPr>
        <w:t>（减</w:t>
      </w:r>
      <w:r>
        <w:rPr>
          <w:rFonts w:hint="eastAsia" w:ascii="仿宋_GB2312" w:hAnsi="黑体" w:eastAsia="仿宋_GB2312"/>
          <w:color w:val="000000" w:themeColor="text1"/>
          <w:sz w:val="32"/>
          <w:szCs w:val="32"/>
          <w:u w:val="none"/>
          <w:lang w:val="en-US" w:eastAsia="zh-CN"/>
        </w:rPr>
        <w:t>少</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的</w:t>
      </w:r>
      <w:r>
        <w:rPr>
          <w:rFonts w:hint="eastAsia" w:ascii="仿宋_GB2312" w:hAnsi="黑体" w:eastAsia="仿宋_GB2312"/>
          <w:color w:val="000000" w:themeColor="text1"/>
          <w:sz w:val="32"/>
          <w:szCs w:val="32"/>
          <w:u w:val="none"/>
        </w:rPr>
        <w:t>原因</w:t>
      </w:r>
      <w:r>
        <w:rPr>
          <w:rFonts w:hint="eastAsia" w:ascii="仿宋_GB2312" w:hAnsi="黑体" w:eastAsia="仿宋_GB2312"/>
          <w:color w:val="000000" w:themeColor="text1"/>
          <w:sz w:val="32"/>
          <w:szCs w:val="32"/>
          <w:u w:val="none"/>
          <w:lang w:val="en-US" w:eastAsia="zh-CN"/>
        </w:rPr>
        <w:t>主要</w:t>
      </w:r>
      <w:r>
        <w:rPr>
          <w:rFonts w:hint="eastAsia" w:ascii="仿宋_GB2312" w:hAnsi="黑体" w:eastAsia="仿宋_GB2312"/>
          <w:color w:val="000000" w:themeColor="text1"/>
          <w:sz w:val="32"/>
          <w:szCs w:val="32"/>
          <w:u w:val="none"/>
        </w:rPr>
        <w:t>是：</w:t>
      </w:r>
      <w:r>
        <w:rPr>
          <w:rFonts w:hint="eastAsia" w:ascii="仿宋_GB2312" w:hAnsi="黑体" w:eastAsia="仿宋_GB2312"/>
          <w:color w:val="000000" w:themeColor="text1"/>
          <w:sz w:val="32"/>
          <w:szCs w:val="32"/>
          <w:u w:val="none"/>
          <w:lang w:val="en-US" w:eastAsia="zh-CN"/>
        </w:rPr>
        <w:t>无此项安排</w:t>
      </w:r>
      <w:r>
        <w:rPr>
          <w:rFonts w:hint="eastAsia" w:ascii="仿宋_GB2312" w:hAnsi="黑体" w:eastAsia="仿宋_GB2312"/>
          <w:color w:val="000000" w:themeColor="text1"/>
          <w:sz w:val="32"/>
          <w:szCs w:val="32"/>
          <w:u w:val="none"/>
        </w:rPr>
        <w:t>。</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lang w:val="en-US" w:eastAsia="zh-CN"/>
        </w:rPr>
        <w:t>4.</w:t>
      </w:r>
      <w:r>
        <w:rPr>
          <w:rFonts w:hint="eastAsia" w:ascii="仿宋_GB2312" w:hAnsi="黑体" w:eastAsia="仿宋_GB2312"/>
          <w:color w:val="000000" w:themeColor="text1"/>
          <w:sz w:val="32"/>
          <w:szCs w:val="32"/>
          <w:u w:val="none"/>
        </w:rPr>
        <w:t>公务用车购置</w:t>
      </w:r>
      <w:r>
        <w:rPr>
          <w:rFonts w:hint="eastAsia" w:ascii="仿宋_GB2312" w:hAnsi="黑体" w:eastAsia="仿宋_GB2312"/>
          <w:color w:val="000000" w:themeColor="text1"/>
          <w:sz w:val="32"/>
          <w:szCs w:val="32"/>
          <w:u w:val="none"/>
          <w:lang w:val="en-US" w:eastAsia="zh-CN"/>
        </w:rPr>
        <w:t>费0</w:t>
      </w:r>
      <w:r>
        <w:rPr>
          <w:rFonts w:hint="eastAsia" w:ascii="仿宋_GB2312" w:hAnsi="黑体" w:eastAsia="仿宋_GB2312"/>
          <w:color w:val="000000" w:themeColor="text1"/>
          <w:sz w:val="32"/>
          <w:szCs w:val="32"/>
          <w:u w:val="none"/>
        </w:rPr>
        <w:t>万元，比上年增</w:t>
      </w:r>
      <w:r>
        <w:rPr>
          <w:rFonts w:hint="eastAsia" w:ascii="仿宋_GB2312" w:hAnsi="黑体" w:eastAsia="仿宋_GB2312"/>
          <w:color w:val="000000" w:themeColor="text1"/>
          <w:sz w:val="32"/>
          <w:szCs w:val="32"/>
          <w:u w:val="none"/>
          <w:lang w:val="en-US" w:eastAsia="zh-CN"/>
        </w:rPr>
        <w:t>加</w:t>
      </w:r>
      <w:r>
        <w:rPr>
          <w:rFonts w:hint="eastAsia" w:ascii="仿宋_GB2312" w:hAnsi="黑体" w:eastAsia="仿宋_GB2312"/>
          <w:color w:val="000000" w:themeColor="text1"/>
          <w:sz w:val="32"/>
          <w:szCs w:val="32"/>
          <w:u w:val="none"/>
        </w:rPr>
        <w:t>（减</w:t>
      </w:r>
      <w:r>
        <w:rPr>
          <w:rFonts w:hint="eastAsia" w:ascii="仿宋_GB2312" w:hAnsi="黑体" w:eastAsia="仿宋_GB2312"/>
          <w:color w:val="000000" w:themeColor="text1"/>
          <w:sz w:val="32"/>
          <w:szCs w:val="32"/>
          <w:u w:val="none"/>
          <w:lang w:val="en-US" w:eastAsia="zh-CN"/>
        </w:rPr>
        <w:t>少</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0</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增</w:t>
      </w:r>
      <w:r>
        <w:rPr>
          <w:rFonts w:hint="eastAsia" w:ascii="仿宋_GB2312" w:hAnsi="黑体" w:eastAsia="仿宋_GB2312"/>
          <w:color w:val="000000" w:themeColor="text1"/>
          <w:sz w:val="32"/>
          <w:szCs w:val="32"/>
          <w:u w:val="none"/>
          <w:lang w:val="en-US" w:eastAsia="zh-CN"/>
        </w:rPr>
        <w:t>加</w:t>
      </w:r>
      <w:r>
        <w:rPr>
          <w:rFonts w:hint="eastAsia" w:ascii="仿宋_GB2312" w:hAnsi="黑体" w:eastAsia="仿宋_GB2312"/>
          <w:color w:val="000000" w:themeColor="text1"/>
          <w:sz w:val="32"/>
          <w:szCs w:val="32"/>
          <w:u w:val="none"/>
        </w:rPr>
        <w:t>（减</w:t>
      </w:r>
      <w:r>
        <w:rPr>
          <w:rFonts w:hint="eastAsia" w:ascii="仿宋_GB2312" w:hAnsi="黑体" w:eastAsia="仿宋_GB2312"/>
          <w:color w:val="000000" w:themeColor="text1"/>
          <w:sz w:val="32"/>
          <w:szCs w:val="32"/>
          <w:u w:val="none"/>
          <w:lang w:val="en-US" w:eastAsia="zh-CN"/>
        </w:rPr>
        <w:t>少</w:t>
      </w:r>
      <w:r>
        <w:rPr>
          <w:rFonts w:hint="eastAsia" w:ascii="仿宋_GB2312" w:hAnsi="黑体" w:eastAsia="仿宋_GB2312"/>
          <w:color w:val="000000" w:themeColor="text1"/>
          <w:sz w:val="32"/>
          <w:szCs w:val="32"/>
          <w:u w:val="none"/>
        </w:rPr>
        <w:t>）</w:t>
      </w:r>
      <w:r>
        <w:rPr>
          <w:rFonts w:hint="eastAsia" w:ascii="仿宋_GB2312" w:hAnsi="黑体" w:eastAsia="仿宋_GB2312"/>
          <w:color w:val="000000" w:themeColor="text1"/>
          <w:sz w:val="32"/>
          <w:szCs w:val="32"/>
          <w:u w:val="none"/>
          <w:lang w:val="en-US" w:eastAsia="zh-CN"/>
        </w:rPr>
        <w:t>的</w:t>
      </w:r>
      <w:r>
        <w:rPr>
          <w:rFonts w:hint="eastAsia" w:ascii="仿宋_GB2312" w:hAnsi="黑体" w:eastAsia="仿宋_GB2312"/>
          <w:color w:val="000000" w:themeColor="text1"/>
          <w:sz w:val="32"/>
          <w:szCs w:val="32"/>
          <w:u w:val="none"/>
        </w:rPr>
        <w:t>原因</w:t>
      </w:r>
      <w:r>
        <w:rPr>
          <w:rFonts w:hint="eastAsia" w:ascii="仿宋_GB2312" w:hAnsi="黑体" w:eastAsia="仿宋_GB2312"/>
          <w:color w:val="000000" w:themeColor="text1"/>
          <w:sz w:val="32"/>
          <w:szCs w:val="32"/>
          <w:u w:val="none"/>
          <w:lang w:val="en-US" w:eastAsia="zh-CN"/>
        </w:rPr>
        <w:t>主要</w:t>
      </w:r>
      <w:r>
        <w:rPr>
          <w:rFonts w:hint="eastAsia" w:ascii="仿宋_GB2312" w:hAnsi="黑体" w:eastAsia="仿宋_GB2312"/>
          <w:color w:val="000000" w:themeColor="text1"/>
          <w:sz w:val="32"/>
          <w:szCs w:val="32"/>
          <w:u w:val="none"/>
        </w:rPr>
        <w:t>是：</w:t>
      </w:r>
      <w:r>
        <w:rPr>
          <w:rFonts w:hint="eastAsia" w:ascii="仿宋_GB2312" w:hAnsi="黑体" w:eastAsia="仿宋_GB2312"/>
          <w:color w:val="000000" w:themeColor="text1"/>
          <w:sz w:val="32"/>
          <w:szCs w:val="32"/>
          <w:u w:val="none"/>
          <w:lang w:val="en-US" w:eastAsia="zh-CN"/>
        </w:rPr>
        <w:t>无此项安排</w:t>
      </w:r>
      <w:r>
        <w:rPr>
          <w:rFonts w:hint="eastAsia" w:ascii="仿宋_GB2312" w:hAnsi="黑体" w:eastAsia="仿宋_GB2312"/>
          <w:color w:val="000000" w:themeColor="text1"/>
          <w:sz w:val="32"/>
          <w:szCs w:val="32"/>
          <w:u w:val="none"/>
        </w:rPr>
        <w:t>。</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b/>
          <w:color w:val="000000" w:themeColor="text1"/>
          <w:sz w:val="32"/>
          <w:szCs w:val="32"/>
        </w:rPr>
      </w:pP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b/>
          <w:color w:val="000000" w:themeColor="text1"/>
          <w:sz w:val="32"/>
          <w:szCs w:val="32"/>
        </w:rPr>
      </w:pP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b/>
          <w:color w:val="000000" w:themeColor="text1"/>
          <w:sz w:val="32"/>
          <w:szCs w:val="32"/>
        </w:rPr>
      </w:pP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b/>
          <w:color w:val="000000" w:themeColor="text1"/>
          <w:sz w:val="32"/>
          <w:szCs w:val="32"/>
        </w:rPr>
      </w:pPr>
    </w:p>
    <w:p>
      <w:pPr>
        <w:pStyle w:val="9"/>
        <w:keepNext w:val="0"/>
        <w:keepLines w:val="0"/>
        <w:pageBreakBefore w:val="0"/>
        <w:widowControl w:val="0"/>
        <w:kinsoku/>
        <w:wordWrap/>
        <w:overflowPunct/>
        <w:topLinePunct/>
        <w:autoSpaceDE/>
        <w:autoSpaceDN/>
        <w:bidi w:val="0"/>
        <w:adjustRightInd w:val="0"/>
        <w:snapToGrid w:val="0"/>
        <w:spacing w:line="580" w:lineRule="exact"/>
        <w:ind w:right="0" w:rightChars="0"/>
        <w:jc w:val="center"/>
        <w:textAlignment w:val="baseline"/>
        <w:outlineLvl w:val="9"/>
        <w:rPr>
          <w:rFonts w:hint="eastAsia"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lang w:val="en-US" w:eastAsia="zh-CN"/>
        </w:rPr>
        <w:t>三</w:t>
      </w:r>
      <w:r>
        <w:rPr>
          <w:rFonts w:hint="eastAsia" w:ascii="仿宋_GB2312" w:hAnsi="黑体" w:eastAsia="仿宋_GB2312"/>
          <w:b/>
          <w:color w:val="000000" w:themeColor="text1"/>
          <w:sz w:val="32"/>
          <w:szCs w:val="32"/>
        </w:rPr>
        <w:t>部分  东湖区工商业联合会202</w:t>
      </w:r>
      <w:r>
        <w:rPr>
          <w:rFonts w:hint="eastAsia" w:ascii="仿宋_GB2312" w:hAnsi="黑体" w:eastAsia="仿宋_GB2312"/>
          <w:b/>
          <w:color w:val="000000" w:themeColor="text1"/>
          <w:sz w:val="32"/>
          <w:szCs w:val="32"/>
          <w:lang w:val="en-US" w:eastAsia="zh-CN"/>
        </w:rPr>
        <w:t>3</w:t>
      </w:r>
      <w:r>
        <w:rPr>
          <w:rFonts w:hint="eastAsia" w:ascii="仿宋_GB2312" w:hAnsi="黑体" w:eastAsia="仿宋_GB2312"/>
          <w:b/>
          <w:color w:val="000000" w:themeColor="text1"/>
          <w:sz w:val="32"/>
          <w:szCs w:val="32"/>
        </w:rPr>
        <w:t>年</w:t>
      </w:r>
      <w:r>
        <w:rPr>
          <w:rFonts w:hint="eastAsia" w:ascii="仿宋_GB2312" w:hAnsi="黑体" w:eastAsia="仿宋_GB2312"/>
          <w:b/>
          <w:color w:val="000000" w:themeColor="text1"/>
          <w:sz w:val="32"/>
          <w:szCs w:val="32"/>
          <w:lang w:val="en-US" w:eastAsia="zh-CN"/>
        </w:rPr>
        <w:t>单位</w:t>
      </w:r>
      <w:r>
        <w:rPr>
          <w:rFonts w:hint="eastAsia" w:ascii="仿宋_GB2312" w:hAnsi="黑体" w:eastAsia="仿宋_GB2312"/>
          <w:b/>
          <w:color w:val="000000" w:themeColor="text1"/>
          <w:sz w:val="32"/>
          <w:szCs w:val="32"/>
        </w:rPr>
        <w:t>预算表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color w:val="000000" w:themeColor="text1"/>
          <w:sz w:val="32"/>
          <w:szCs w:val="32"/>
        </w:rPr>
      </w:pP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一、《收支预算总表》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二、《部门收入总表》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三、《部门支出总表》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四、《财政拨款收支总表》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五、《一般公共预算支出表》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六、《一般公共预算基本支出表》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七、《一般公共预算“三公”经费支出表》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八、《政府性基金预算支出表》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九、《国有资本经营预算支出表》</w:t>
      </w:r>
      <w:r>
        <w:rPr>
          <w:rFonts w:hint="eastAsia" w:ascii="仿宋_GB2312" w:hAnsi="黑体" w:eastAsia="仿宋_GB2312"/>
          <w:color w:val="000000" w:themeColor="text1"/>
          <w:sz w:val="32"/>
          <w:szCs w:val="32"/>
        </w:rPr>
        <w:tab/>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十、《项目</w:t>
      </w:r>
      <w:r>
        <w:rPr>
          <w:rFonts w:hint="eastAsia" w:ascii="仿宋_GB2312" w:hAnsi="黑体" w:eastAsia="仿宋_GB2312"/>
          <w:color w:val="000000" w:themeColor="text1"/>
          <w:sz w:val="32"/>
          <w:szCs w:val="32"/>
          <w:lang w:val="en-US" w:eastAsia="zh-CN"/>
        </w:rPr>
        <w:t>支出</w:t>
      </w:r>
      <w:r>
        <w:rPr>
          <w:rFonts w:hint="eastAsia" w:ascii="仿宋_GB2312" w:hAnsi="黑体" w:eastAsia="仿宋_GB2312"/>
          <w:color w:val="000000" w:themeColor="text1"/>
          <w:sz w:val="32"/>
          <w:szCs w:val="32"/>
        </w:rPr>
        <w:t>绩效目标表》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1920" w:firstLineChars="600"/>
        <w:jc w:val="both"/>
        <w:textAlignment w:val="baseline"/>
        <w:outlineLvl w:val="9"/>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十</w:t>
      </w:r>
      <w:r>
        <w:rPr>
          <w:rFonts w:hint="eastAsia" w:ascii="仿宋_GB2312" w:hAnsi="黑体" w:eastAsia="仿宋_GB2312"/>
          <w:color w:val="000000" w:themeColor="text1"/>
          <w:sz w:val="32"/>
          <w:szCs w:val="32"/>
          <w:lang w:val="en-US" w:eastAsia="zh-CN"/>
        </w:rPr>
        <w:t>一</w:t>
      </w:r>
      <w:r>
        <w:rPr>
          <w:rFonts w:hint="eastAsia" w:ascii="仿宋_GB2312" w:hAnsi="黑体" w:eastAsia="仿宋_GB2312"/>
          <w:color w:val="000000" w:themeColor="text1"/>
          <w:sz w:val="32"/>
          <w:szCs w:val="32"/>
        </w:rPr>
        <w:t>、《部门整体支出绩效目标表》</w:t>
      </w:r>
    </w:p>
    <w:p>
      <w:pPr>
        <w:pStyle w:val="9"/>
        <w:keepNext w:val="0"/>
        <w:keepLines w:val="0"/>
        <w:pageBreakBefore w:val="0"/>
        <w:widowControl w:val="0"/>
        <w:kinsoku/>
        <w:wordWrap/>
        <w:overflowPunct/>
        <w:topLinePunct/>
        <w:autoSpaceDE/>
        <w:autoSpaceDN/>
        <w:bidi w:val="0"/>
        <w:adjustRightInd w:val="0"/>
        <w:snapToGrid w:val="0"/>
        <w:spacing w:line="580" w:lineRule="exact"/>
        <w:ind w:left="0" w:leftChars="0" w:right="0" w:rightChars="0" w:firstLine="640" w:firstLineChars="200"/>
        <w:jc w:val="both"/>
        <w:textAlignment w:val="baseline"/>
        <w:outlineLvl w:val="9"/>
        <w:rPr>
          <w:rFonts w:hint="eastAsia" w:ascii="仿宋_GB2312" w:hAnsi="黑体" w:eastAsia="仿宋_GB2312"/>
          <w:b/>
          <w:bCs/>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 xml:space="preserve"> （注：①由于本说明中数据四舍五入原因，部分汇总数据数据与分项加总之和可能存在尾差；②表格详见附件，若其中某张表为空表或表中数据为0，则说明没有相关收支预算安排。）</w:t>
      </w:r>
      <w:r>
        <w:rPr>
          <w:rFonts w:hint="eastAsia" w:ascii="仿宋_GB2312" w:hAnsi="黑体" w:eastAsia="仿宋_GB2312"/>
          <w:b/>
          <w:bCs/>
          <w:color w:val="000000" w:themeColor="text1"/>
          <w:sz w:val="32"/>
          <w:szCs w:val="32"/>
          <w:lang w:val="en-US" w:eastAsia="zh-CN"/>
        </w:rPr>
        <w:t>详情另见2023年东湖区工商业联合会预算公开表。</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lang w:val="en-US" w:eastAsia="zh-CN"/>
        </w:rPr>
      </w:pP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lang w:val="en-US" w:eastAsia="zh-CN"/>
        </w:rPr>
      </w:pPr>
    </w:p>
    <w:p>
      <w:pPr>
        <w:pStyle w:val="9"/>
        <w:keepNext w:val="0"/>
        <w:keepLines w:val="0"/>
        <w:pageBreakBefore w:val="0"/>
        <w:widowControl w:val="0"/>
        <w:kinsoku/>
        <w:wordWrap/>
        <w:overflowPunct/>
        <w:topLinePunct/>
        <w:autoSpaceDE/>
        <w:autoSpaceDN/>
        <w:bidi w:val="0"/>
        <w:adjustRightInd w:val="0"/>
        <w:spacing w:line="580" w:lineRule="exact"/>
        <w:ind w:right="0" w:rightChars="0"/>
        <w:jc w:val="center"/>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第四部分   名词解释</w:t>
      </w:r>
    </w:p>
    <w:p>
      <w:pPr>
        <w:pStyle w:val="9"/>
        <w:keepNext w:val="0"/>
        <w:keepLines w:val="0"/>
        <w:pageBreakBefore w:val="0"/>
        <w:widowControl w:val="0"/>
        <w:kinsoku/>
        <w:wordWrap/>
        <w:overflowPunct/>
        <w:topLinePunct/>
        <w:autoSpaceDE/>
        <w:autoSpaceDN/>
        <w:bidi w:val="0"/>
        <w:adjustRightInd w:val="0"/>
        <w:spacing w:line="580" w:lineRule="exact"/>
        <w:ind w:right="0" w:rightChars="0"/>
        <w:jc w:val="center"/>
        <w:outlineLvl w:val="9"/>
        <w:rPr>
          <w:rFonts w:hint="eastAsia" w:ascii="仿宋_GB2312" w:hAnsi="仿宋_GB2312" w:eastAsia="仿宋_GB2312" w:cs="仿宋_GB2312"/>
          <w:b/>
          <w:color w:val="000000" w:themeColor="text1"/>
          <w:sz w:val="32"/>
          <w:szCs w:val="32"/>
        </w:rPr>
      </w:pP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仿宋_GB2312" w:hAnsi="黑体" w:eastAsia="仿宋_GB2312"/>
          <w:color w:val="000000" w:themeColor="text1"/>
          <w:sz w:val="32"/>
          <w:szCs w:val="32"/>
        </w:rPr>
      </w:pPr>
      <w:r>
        <w:rPr>
          <w:rFonts w:hint="eastAsia" w:ascii="黑体" w:hAnsi="黑体" w:eastAsia="黑体"/>
          <w:color w:val="000000" w:themeColor="text1"/>
          <w:sz w:val="32"/>
          <w:szCs w:val="32"/>
        </w:rPr>
        <w:t>一、收入科目</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（一）财政拨款：</w:t>
      </w:r>
      <w:r>
        <w:rPr>
          <w:rFonts w:hint="eastAsia" w:ascii="仿宋_GB2312" w:hAnsi="黑体" w:eastAsia="仿宋_GB2312"/>
          <w:color w:val="000000" w:themeColor="text1"/>
          <w:sz w:val="32"/>
          <w:szCs w:val="32"/>
        </w:rPr>
        <w:t>指区级财政当年拨付的资金。</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（二）教育收费资金收入：</w:t>
      </w:r>
      <w:r>
        <w:rPr>
          <w:rFonts w:hint="eastAsia" w:ascii="仿宋_GB2312" w:hAnsi="黑体" w:eastAsia="仿宋_GB2312"/>
          <w:color w:val="000000" w:themeColor="text1"/>
          <w:sz w:val="32"/>
          <w:szCs w:val="32"/>
        </w:rPr>
        <w:t>反映实行专项管理的高中以上学费、住宿费，高校委托培养费，函大、电大、夜大及短训班培训费等教育收费取得的收入。</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（三）事业收入：</w:t>
      </w:r>
      <w:r>
        <w:rPr>
          <w:rFonts w:hint="eastAsia" w:ascii="仿宋_GB2312" w:hAnsi="黑体" w:eastAsia="仿宋_GB2312"/>
          <w:color w:val="000000" w:themeColor="text1"/>
          <w:sz w:val="32"/>
          <w:szCs w:val="32"/>
        </w:rPr>
        <w:t>指事业单位开展专业业务活动及辅助活动取得的收入。</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（四）事业单位经营收入：</w:t>
      </w:r>
      <w:r>
        <w:rPr>
          <w:rFonts w:hint="eastAsia" w:ascii="仿宋_GB2312" w:hAnsi="黑体" w:eastAsia="仿宋_GB2312"/>
          <w:color w:val="000000" w:themeColor="text1"/>
          <w:sz w:val="32"/>
          <w:szCs w:val="32"/>
        </w:rPr>
        <w:t>指事业单位在专业业务活动及辅助活动之外开展非独立核算经营活动取得的收入。</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（五）附属单位上缴收入：</w:t>
      </w:r>
      <w:r>
        <w:rPr>
          <w:rFonts w:hint="eastAsia" w:ascii="仿宋_GB2312" w:hAnsi="黑体" w:eastAsia="仿宋_GB2312"/>
          <w:color w:val="000000" w:themeColor="text1"/>
          <w:sz w:val="32"/>
          <w:szCs w:val="32"/>
        </w:rPr>
        <w:t>反映事业单位附属的独立核算单位按规定标准或比例缴纳的各项收入。包括附属的事业单位上缴的收入和附属的企业上缴的利润等。</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（六）上级补助收入：</w:t>
      </w:r>
      <w:r>
        <w:rPr>
          <w:rFonts w:hint="eastAsia" w:ascii="仿宋_GB2312" w:hAnsi="黑体" w:eastAsia="仿宋_GB2312"/>
          <w:color w:val="000000" w:themeColor="text1"/>
          <w:sz w:val="32"/>
          <w:szCs w:val="32"/>
        </w:rPr>
        <w:t>反映事业单位从主管部门和上级单位取得的非财政补助收入。</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（七）其他收入</w:t>
      </w:r>
      <w:r>
        <w:rPr>
          <w:rFonts w:hint="eastAsia" w:ascii="仿宋_GB2312" w:hAnsi="黑体" w:eastAsia="仿宋_GB2312"/>
          <w:color w:val="000000" w:themeColor="text1"/>
          <w:sz w:val="32"/>
          <w:szCs w:val="32"/>
        </w:rPr>
        <w:t>：指除财政拨款、事业收入、事业单位经营收入等以外的各项收入。</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（八）使用非财政拨款结余：</w:t>
      </w:r>
      <w:r>
        <w:rPr>
          <w:rFonts w:hint="eastAsia" w:ascii="仿宋_GB2312" w:hAnsi="黑体" w:eastAsia="仿宋_GB2312"/>
          <w:color w:val="000000" w:themeColor="text1"/>
          <w:sz w:val="32"/>
          <w:szCs w:val="32"/>
        </w:rPr>
        <w:t>填列历年滚存的非限定用途的非统计财政拨款结余弥补202</w:t>
      </w:r>
      <w:r>
        <w:rPr>
          <w:rFonts w:hint="eastAsia" w:ascii="仿宋_GB2312" w:hAnsi="黑体" w:eastAsia="仿宋_GB2312"/>
          <w:color w:val="000000" w:themeColor="text1"/>
          <w:sz w:val="32"/>
          <w:szCs w:val="32"/>
          <w:lang w:val="en-US" w:eastAsia="zh-CN"/>
        </w:rPr>
        <w:t>3</w:t>
      </w:r>
      <w:r>
        <w:rPr>
          <w:rFonts w:hint="eastAsia" w:ascii="仿宋_GB2312" w:hAnsi="黑体" w:eastAsia="仿宋_GB2312"/>
          <w:color w:val="000000" w:themeColor="text1"/>
          <w:sz w:val="32"/>
          <w:szCs w:val="32"/>
        </w:rPr>
        <w:t>年收支差额的数额。</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3" w:firstLineChars="200"/>
        <w:jc w:val="both"/>
        <w:outlineLvl w:val="9"/>
        <w:rPr>
          <w:rFonts w:hint="eastAsia" w:ascii="仿宋_GB2312" w:hAnsi="黑体" w:eastAsia="仿宋_GB2312"/>
          <w:color w:val="000000" w:themeColor="text1"/>
          <w:sz w:val="32"/>
          <w:szCs w:val="32"/>
        </w:rPr>
      </w:pPr>
      <w:r>
        <w:rPr>
          <w:rFonts w:hint="eastAsia" w:ascii="楷体_GB2312" w:hAnsi="黑体" w:eastAsia="楷体_GB2312"/>
          <w:b/>
          <w:color w:val="000000" w:themeColor="text1"/>
          <w:sz w:val="32"/>
          <w:szCs w:val="32"/>
        </w:rPr>
        <w:t>（九）上年结转和结余：</w:t>
      </w:r>
      <w:r>
        <w:rPr>
          <w:rFonts w:hint="eastAsia" w:ascii="仿宋_GB2312" w:hAnsi="黑体" w:eastAsia="仿宋_GB2312"/>
          <w:color w:val="000000" w:themeColor="text1"/>
          <w:sz w:val="32"/>
          <w:szCs w:val="32"/>
        </w:rPr>
        <w:t>填列202</w:t>
      </w:r>
      <w:r>
        <w:rPr>
          <w:rFonts w:hint="eastAsia" w:ascii="仿宋_GB2312" w:hAnsi="黑体" w:eastAsia="仿宋_GB2312"/>
          <w:color w:val="000000" w:themeColor="text1"/>
          <w:sz w:val="32"/>
          <w:szCs w:val="32"/>
          <w:lang w:val="en-US" w:eastAsia="zh-CN"/>
        </w:rPr>
        <w:t>2</w:t>
      </w:r>
      <w:r>
        <w:rPr>
          <w:rFonts w:hint="eastAsia" w:ascii="仿宋_GB2312" w:hAnsi="黑体" w:eastAsia="仿宋_GB2312"/>
          <w:color w:val="000000" w:themeColor="text1"/>
          <w:sz w:val="32"/>
          <w:szCs w:val="32"/>
        </w:rPr>
        <w:t>年全部结转和结余的资金数，包括当年结转结余资金和历年滚存结转结余资金。</w:t>
      </w:r>
    </w:p>
    <w:p>
      <w:pPr>
        <w:pStyle w:val="9"/>
        <w:keepNext w:val="0"/>
        <w:keepLines w:val="0"/>
        <w:pageBreakBefore w:val="0"/>
        <w:widowControl w:val="0"/>
        <w:kinsoku/>
        <w:wordWrap/>
        <w:overflowPunct/>
        <w:topLinePunct/>
        <w:autoSpaceDE/>
        <w:autoSpaceDN/>
        <w:bidi w:val="0"/>
        <w:adjustRightInd w:val="0"/>
        <w:spacing w:line="580" w:lineRule="exact"/>
        <w:ind w:left="0" w:leftChars="0" w:right="0" w:rightChars="0" w:firstLine="640" w:firstLineChars="200"/>
        <w:jc w:val="both"/>
        <w:outlineLvl w:val="9"/>
        <w:rPr>
          <w:rFonts w:hint="eastAsia" w:ascii="黑体" w:hAnsi="黑体" w:eastAsia="黑体"/>
          <w:color w:val="000000" w:themeColor="text1"/>
          <w:sz w:val="32"/>
          <w:szCs w:val="32"/>
        </w:rPr>
      </w:pPr>
      <w:r>
        <w:rPr>
          <w:rFonts w:hint="eastAsia" w:ascii="黑体" w:hAnsi="黑体" w:eastAsia="黑体"/>
          <w:color w:val="000000" w:themeColor="text1"/>
          <w:sz w:val="32"/>
          <w:szCs w:val="32"/>
        </w:rPr>
        <w:t>二、支出科目</w:t>
      </w:r>
    </w:p>
    <w:p>
      <w:pPr>
        <w:pStyle w:val="13"/>
        <w:keepNext w:val="0"/>
        <w:keepLines w:val="0"/>
        <w:pageBreakBefore w:val="0"/>
        <w:wordWrap/>
        <w:overflowPunct/>
        <w:bidi w:val="0"/>
        <w:adjustRightInd w:val="0"/>
        <w:spacing w:line="580" w:lineRule="exact"/>
        <w:ind w:left="0" w:leftChars="0" w:right="0" w:rightChars="0" w:firstLine="643" w:firstLineChars="200"/>
        <w:outlineLvl w:val="9"/>
        <w:rPr>
          <w:rFonts w:ascii="仿宋" w:eastAsia="仿宋" w:cs="仿宋"/>
          <w:color w:val="000000" w:themeColor="text1"/>
          <w:sz w:val="32"/>
          <w:szCs w:val="32"/>
        </w:rPr>
      </w:pPr>
      <w:r>
        <w:rPr>
          <w:rFonts w:hint="eastAsia" w:ascii="楷体_GB2312" w:hAnsi="楷体_GB2312" w:eastAsia="楷体_GB2312" w:cs="楷体_GB2312"/>
          <w:b/>
          <w:bCs/>
          <w:color w:val="000000" w:themeColor="text1"/>
          <w:sz w:val="32"/>
          <w:szCs w:val="32"/>
        </w:rPr>
        <w:t>（一）行政单位离退休：</w:t>
      </w:r>
      <w:r>
        <w:rPr>
          <w:rFonts w:hint="eastAsia" w:ascii="仿宋" w:eastAsia="仿宋" w:cs="仿宋"/>
          <w:color w:val="000000" w:themeColor="text1"/>
          <w:sz w:val="32"/>
          <w:szCs w:val="32"/>
        </w:rPr>
        <w:t>反映行政单位（包括实行公务员管理的事业单位）开支的离退休经费。</w:t>
      </w:r>
      <w:r>
        <w:rPr>
          <w:rFonts w:ascii="仿宋" w:eastAsia="仿宋" w:cs="仿宋"/>
          <w:color w:val="000000" w:themeColor="text1"/>
          <w:sz w:val="32"/>
          <w:szCs w:val="32"/>
        </w:rPr>
        <w:t xml:space="preserve"> </w:t>
      </w:r>
    </w:p>
    <w:p>
      <w:pPr>
        <w:pStyle w:val="13"/>
        <w:keepNext w:val="0"/>
        <w:keepLines w:val="0"/>
        <w:pageBreakBefore w:val="0"/>
        <w:wordWrap/>
        <w:overflowPunct/>
        <w:bidi w:val="0"/>
        <w:adjustRightInd w:val="0"/>
        <w:spacing w:line="580" w:lineRule="exact"/>
        <w:ind w:left="0" w:leftChars="0" w:right="0" w:rightChars="0" w:firstLine="643" w:firstLineChars="200"/>
        <w:outlineLvl w:val="9"/>
        <w:rPr>
          <w:rFonts w:hint="eastAsia" w:ascii="仿宋" w:eastAsia="仿宋" w:cs="仿宋"/>
          <w:color w:val="000000" w:themeColor="text1"/>
          <w:sz w:val="32"/>
          <w:szCs w:val="32"/>
        </w:rPr>
      </w:pPr>
      <w:r>
        <w:rPr>
          <w:rFonts w:hint="eastAsia" w:ascii="楷体_GB2312" w:hAnsi="楷体_GB2312" w:eastAsia="楷体_GB2312" w:cs="楷体_GB2312"/>
          <w:b/>
          <w:bCs/>
          <w:color w:val="000000" w:themeColor="text1"/>
          <w:sz w:val="32"/>
          <w:szCs w:val="32"/>
        </w:rPr>
        <w:t>（二）住房公积金：</w:t>
      </w:r>
      <w:r>
        <w:rPr>
          <w:rFonts w:hint="eastAsia" w:ascii="仿宋" w:eastAsia="仿宋" w:cs="仿宋"/>
          <w:color w:val="000000" w:themeColor="text1"/>
          <w:sz w:val="32"/>
          <w:szCs w:val="32"/>
        </w:rPr>
        <w:t>反映行政事业单位按人力资源和社会保障部、财政部规定的基本工资和津补贴以及规定比例为职工缴纳的住房公积金。</w:t>
      </w:r>
    </w:p>
    <w:p>
      <w:pPr>
        <w:pStyle w:val="13"/>
        <w:keepNext w:val="0"/>
        <w:keepLines w:val="0"/>
        <w:pageBreakBefore w:val="0"/>
        <w:wordWrap/>
        <w:overflowPunct/>
        <w:bidi w:val="0"/>
        <w:adjustRightInd w:val="0"/>
        <w:spacing w:line="580" w:lineRule="exact"/>
        <w:ind w:left="0" w:leftChars="0" w:right="0" w:rightChars="0" w:firstLine="643" w:firstLineChars="200"/>
        <w:outlineLvl w:val="9"/>
        <w:rPr>
          <w:rFonts w:hint="eastAsia" w:ascii="仿宋" w:eastAsia="仿宋" w:cs="仿宋"/>
          <w:color w:val="000000" w:themeColor="text1"/>
          <w:sz w:val="32"/>
          <w:szCs w:val="32"/>
        </w:rPr>
      </w:pPr>
      <w:r>
        <w:rPr>
          <w:rFonts w:hint="eastAsia" w:ascii="楷体_GB2312" w:hAnsi="楷体_GB2312" w:eastAsia="楷体_GB2312" w:cs="楷体_GB2312"/>
          <w:b/>
          <w:bCs/>
          <w:color w:val="000000" w:themeColor="text1"/>
          <w:sz w:val="32"/>
          <w:szCs w:val="32"/>
        </w:rPr>
        <w:t>（三）行政运行：</w:t>
      </w:r>
      <w:r>
        <w:rPr>
          <w:rFonts w:hint="eastAsia" w:ascii="仿宋" w:eastAsia="仿宋" w:cs="仿宋"/>
          <w:color w:val="000000" w:themeColor="text1"/>
          <w:sz w:val="32"/>
          <w:szCs w:val="32"/>
        </w:rPr>
        <w:t>反映行政单位（包括公务员管理的事业单位）的基本支出。</w:t>
      </w:r>
    </w:p>
    <w:p>
      <w:pPr>
        <w:pStyle w:val="13"/>
        <w:keepNext w:val="0"/>
        <w:keepLines w:val="0"/>
        <w:pageBreakBefore w:val="0"/>
        <w:wordWrap/>
        <w:overflowPunct/>
        <w:bidi w:val="0"/>
        <w:adjustRightInd w:val="0"/>
        <w:spacing w:line="580" w:lineRule="exact"/>
        <w:ind w:left="0" w:leftChars="0" w:right="0" w:rightChars="0" w:firstLine="643" w:firstLineChars="200"/>
        <w:outlineLvl w:val="9"/>
        <w:rPr>
          <w:rFonts w:hint="eastAsia" w:ascii="仿宋" w:eastAsia="仿宋" w:cs="仿宋"/>
          <w:color w:val="000000" w:themeColor="text1"/>
          <w:sz w:val="32"/>
          <w:szCs w:val="32"/>
        </w:rPr>
      </w:pPr>
      <w:r>
        <w:rPr>
          <w:rFonts w:hint="eastAsia" w:ascii="楷体_GB2312" w:hAnsi="楷体_GB2312" w:eastAsia="楷体_GB2312" w:cs="楷体_GB2312"/>
          <w:b/>
          <w:bCs/>
          <w:color w:val="000000" w:themeColor="text1"/>
          <w:sz w:val="32"/>
          <w:szCs w:val="32"/>
        </w:rPr>
        <w:t>（四）一般行政管理事务：</w:t>
      </w:r>
      <w:r>
        <w:rPr>
          <w:rFonts w:hint="eastAsia" w:ascii="仿宋" w:eastAsia="仿宋" w:cs="仿宋"/>
          <w:color w:val="000000" w:themeColor="text1"/>
          <w:sz w:val="32"/>
          <w:szCs w:val="32"/>
        </w:rPr>
        <w:t>反映行政单位（包括公务员管理的事业单位）未单独设置科目的其他项目支出。</w:t>
      </w:r>
    </w:p>
    <w:p>
      <w:pPr>
        <w:pStyle w:val="13"/>
        <w:keepNext w:val="0"/>
        <w:keepLines w:val="0"/>
        <w:pageBreakBefore w:val="0"/>
        <w:wordWrap/>
        <w:overflowPunct/>
        <w:bidi w:val="0"/>
        <w:adjustRightInd w:val="0"/>
        <w:spacing w:line="580" w:lineRule="exact"/>
        <w:ind w:left="0" w:leftChars="0" w:right="0" w:rightChars="0" w:firstLine="643" w:firstLineChars="200"/>
        <w:outlineLvl w:val="9"/>
        <w:rPr>
          <w:rFonts w:hint="eastAsia" w:ascii="仿宋" w:eastAsia="仿宋" w:cs="仿宋"/>
          <w:color w:val="000000" w:themeColor="text1"/>
          <w:sz w:val="32"/>
          <w:szCs w:val="32"/>
        </w:rPr>
      </w:pPr>
      <w:r>
        <w:rPr>
          <w:rFonts w:hint="eastAsia" w:ascii="楷体_GB2312" w:hAnsi="楷体_GB2312" w:eastAsia="楷体_GB2312" w:cs="楷体_GB2312"/>
          <w:b/>
          <w:bCs/>
          <w:color w:val="000000" w:themeColor="text1"/>
          <w:sz w:val="32"/>
          <w:szCs w:val="32"/>
        </w:rPr>
        <w:t>（五）安全监管：</w:t>
      </w:r>
      <w:r>
        <w:rPr>
          <w:rFonts w:hint="eastAsia" w:ascii="仿宋" w:eastAsia="仿宋" w:cs="仿宋"/>
          <w:color w:val="000000" w:themeColor="text1"/>
          <w:sz w:val="32"/>
          <w:szCs w:val="32"/>
        </w:rPr>
        <w:t>反映安全生产综合监督管理和工贸行业安全生产监督管理等方面的支出。</w:t>
      </w:r>
    </w:p>
    <w:p>
      <w:pPr>
        <w:pStyle w:val="13"/>
        <w:keepNext w:val="0"/>
        <w:keepLines w:val="0"/>
        <w:pageBreakBefore w:val="0"/>
        <w:wordWrap/>
        <w:overflowPunct/>
        <w:bidi w:val="0"/>
        <w:adjustRightInd w:val="0"/>
        <w:spacing w:line="580" w:lineRule="exact"/>
        <w:ind w:left="0" w:leftChars="0" w:right="0" w:rightChars="0" w:firstLine="643" w:firstLineChars="200"/>
        <w:outlineLvl w:val="9"/>
        <w:rPr>
          <w:rFonts w:ascii="仿宋" w:eastAsia="仿宋" w:cs="仿宋"/>
          <w:color w:val="000000" w:themeColor="text1"/>
          <w:sz w:val="32"/>
          <w:szCs w:val="32"/>
        </w:rPr>
      </w:pPr>
      <w:r>
        <w:rPr>
          <w:rFonts w:hint="eastAsia" w:ascii="楷体_GB2312" w:hAnsi="楷体_GB2312" w:eastAsia="楷体_GB2312" w:cs="楷体_GB2312"/>
          <w:b/>
          <w:bCs/>
          <w:color w:val="000000" w:themeColor="text1"/>
          <w:sz w:val="32"/>
          <w:szCs w:val="32"/>
        </w:rPr>
        <w:t>（六）事业运行：</w:t>
      </w:r>
      <w:r>
        <w:rPr>
          <w:rFonts w:hint="eastAsia" w:ascii="仿宋" w:eastAsia="仿宋" w:cs="仿宋"/>
          <w:color w:val="000000" w:themeColor="text1"/>
          <w:sz w:val="32"/>
          <w:szCs w:val="32"/>
        </w:rPr>
        <w:t>反映事业单位的基本支出，不包括行政单位（包括实行公务员管理的事业单位）后勤服务中心、医务室等附属事业单位。</w:t>
      </w:r>
    </w:p>
    <w:p>
      <w:pPr>
        <w:pStyle w:val="13"/>
        <w:keepNext w:val="0"/>
        <w:keepLines w:val="0"/>
        <w:pageBreakBefore w:val="0"/>
        <w:wordWrap/>
        <w:overflowPunct/>
        <w:bidi w:val="0"/>
        <w:adjustRightInd w:val="0"/>
        <w:spacing w:line="580" w:lineRule="exact"/>
        <w:ind w:left="0" w:leftChars="0" w:right="0" w:rightChars="0" w:firstLine="643" w:firstLineChars="200"/>
        <w:outlineLvl w:val="9"/>
        <w:rPr>
          <w:rFonts w:hint="eastAsia" w:ascii="仿宋" w:eastAsia="仿宋" w:cs="仿宋"/>
          <w:color w:val="000000" w:themeColor="text1"/>
          <w:sz w:val="32"/>
          <w:szCs w:val="32"/>
        </w:rPr>
      </w:pPr>
      <w:r>
        <w:rPr>
          <w:rFonts w:hint="eastAsia" w:ascii="楷体_GB2312" w:hAnsi="楷体_GB2312" w:eastAsia="楷体_GB2312" w:cs="楷体_GB2312"/>
          <w:b/>
          <w:bCs/>
          <w:color w:val="000000" w:themeColor="text1"/>
          <w:sz w:val="32"/>
          <w:szCs w:val="32"/>
        </w:rPr>
        <w:t>（七）自然灾害救灾补助：</w:t>
      </w:r>
      <w:r>
        <w:rPr>
          <w:rFonts w:hint="eastAsia" w:ascii="仿宋" w:eastAsia="仿宋" w:cs="仿宋"/>
          <w:color w:val="000000" w:themeColor="text1"/>
          <w:sz w:val="32"/>
          <w:szCs w:val="32"/>
        </w:rPr>
        <w:t>反映用于应对重大自然灾害应急救援和受灾群众救助的支出。</w:t>
      </w:r>
    </w:p>
    <w:p>
      <w:pPr>
        <w:keepNext w:val="0"/>
        <w:keepLines w:val="0"/>
        <w:pageBreakBefore w:val="0"/>
        <w:widowControl/>
        <w:wordWrap/>
        <w:overflowPunct/>
        <w:bidi w:val="0"/>
        <w:adjustRightInd w:val="0"/>
        <w:spacing w:line="580" w:lineRule="exact"/>
        <w:ind w:right="0" w:rightChars="0" w:firstLine="640" w:firstLineChars="200"/>
        <w:jc w:val="left"/>
        <w:outlineLvl w:val="9"/>
        <w:rPr>
          <w:rFonts w:hint="eastAsia" w:ascii="黑体" w:hAnsi="黑体" w:eastAsia="黑体" w:cs="黑体"/>
          <w:b w:val="0"/>
          <w:bCs/>
          <w:color w:val="000000" w:themeColor="text1"/>
          <w:sz w:val="32"/>
          <w:szCs w:val="30"/>
        </w:rPr>
      </w:pPr>
      <w:r>
        <w:rPr>
          <w:rFonts w:hint="eastAsia" w:ascii="黑体" w:hAnsi="黑体" w:eastAsia="黑体" w:cs="黑体"/>
          <w:b w:val="0"/>
          <w:bCs/>
          <w:color w:val="000000" w:themeColor="text1"/>
          <w:sz w:val="32"/>
          <w:szCs w:val="30"/>
        </w:rPr>
        <w:t>三、部门涉及的专业名词</w:t>
      </w:r>
    </w:p>
    <w:p>
      <w:pPr>
        <w:keepNext w:val="0"/>
        <w:keepLines w:val="0"/>
        <w:pageBreakBefore w:val="0"/>
        <w:widowControl/>
        <w:wordWrap/>
        <w:overflowPunct/>
        <w:bidi w:val="0"/>
        <w:adjustRightInd w:val="0"/>
        <w:spacing w:line="580" w:lineRule="exact"/>
        <w:ind w:left="0" w:leftChars="0" w:right="0" w:rightChars="0"/>
        <w:jc w:val="left"/>
        <w:outlineLvl w:val="9"/>
        <w:rPr>
          <w:rFonts w:hint="eastAsia"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0"/>
        </w:rPr>
        <w:t xml:space="preserve">   </w:t>
      </w:r>
      <w:r>
        <w:rPr>
          <w:rFonts w:hint="eastAsia" w:ascii="楷体_GB2312" w:hAnsi="楷体_GB2312" w:eastAsia="楷体_GB2312" w:cs="楷体_GB2312"/>
          <w:b/>
          <w:bCs/>
          <w:color w:val="000000" w:themeColor="text1"/>
          <w:sz w:val="32"/>
          <w:szCs w:val="30"/>
        </w:rPr>
        <w:t xml:space="preserve"> </w:t>
      </w:r>
      <w:r>
        <w:rPr>
          <w:rFonts w:hint="eastAsia" w:ascii="楷体_GB2312" w:hAnsi="楷体_GB2312" w:eastAsia="楷体_GB2312" w:cs="楷体_GB2312"/>
          <w:b/>
          <w:bCs/>
          <w:color w:val="000000" w:themeColor="text1"/>
          <w:sz w:val="32"/>
          <w:szCs w:val="32"/>
        </w:rPr>
        <w:t>（一）“三公”经费：</w:t>
      </w:r>
      <w:r>
        <w:rPr>
          <w:rFonts w:hint="eastAsia" w:ascii="仿宋_GB2312" w:hAnsi="仿宋_GB2312" w:eastAsia="仿宋_GB2312" w:cs="仿宋_GB2312"/>
          <w:color w:val="000000" w:themeColor="text1"/>
          <w:sz w:val="32"/>
          <w:szCs w:val="32"/>
        </w:rPr>
        <w:t>纳入预算管理的“三公”经费，是指用财政拨款安排的因公出国（境）费、公务用车购置及运行费和公务接待费。</w:t>
      </w:r>
    </w:p>
    <w:p>
      <w:pPr>
        <w:keepNext w:val="0"/>
        <w:keepLines w:val="0"/>
        <w:pageBreakBefore w:val="0"/>
        <w:widowControl/>
        <w:wordWrap/>
        <w:overflowPunct/>
        <w:bidi w:val="0"/>
        <w:adjustRightInd w:val="0"/>
        <w:spacing w:line="580" w:lineRule="exact"/>
        <w:ind w:left="0" w:leftChars="0" w:right="0" w:rightChars="0" w:firstLine="640"/>
        <w:jc w:val="left"/>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color w:val="000000" w:themeColor="text1"/>
          <w:sz w:val="32"/>
          <w:szCs w:val="32"/>
        </w:rPr>
        <w:t>（二）机关运行经费：</w:t>
      </w:r>
      <w:r>
        <w:rPr>
          <w:rFonts w:hint="eastAsia" w:ascii="仿宋_GB2312" w:hAnsi="仿宋_GB2312" w:eastAsia="仿宋_GB2312" w:cs="仿宋_GB2312"/>
          <w:color w:val="000000" w:themeColor="text1"/>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4" w:type="default"/>
      <w:footerReference r:id="rId5" w:type="even"/>
      <w:pgSz w:w="11910" w:h="16850"/>
      <w:pgMar w:top="1418" w:right="1418" w:bottom="1418" w:left="1418" w:header="851" w:footer="992"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73628"/>
    </w:sdtPr>
    <w:sdtContent>
      <w:p>
        <w:pPr>
          <w:pStyle w:val="3"/>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73629"/>
    </w:sdt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89657C"/>
    <w:multiLevelType w:val="singleLevel"/>
    <w:tmpl w:val="C389657C"/>
    <w:lvl w:ilvl="0" w:tentative="0">
      <w:start w:val="4"/>
      <w:numFmt w:val="chineseCounting"/>
      <w:suff w:val="space"/>
      <w:lvlText w:val="第%1部分"/>
      <w:lvlJc w:val="left"/>
      <w:rPr>
        <w:rFonts w:hint="eastAsia"/>
      </w:rPr>
    </w:lvl>
  </w:abstractNum>
  <w:abstractNum w:abstractNumId="1">
    <w:nsid w:val="EB6B6B37"/>
    <w:multiLevelType w:val="singleLevel"/>
    <w:tmpl w:val="EB6B6B3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evenAndOddHeaders w:val="1"/>
  <w:drawingGridHorizontalSpacing w:val="105"/>
  <w:displayHorizontalDrawingGridEvery w:val="1"/>
  <w:displayVerticalDrawingGridEvery w:val="1"/>
  <w:noPunctuationKerning w:val="1"/>
  <w:characterSpacingControl w:val="doNotCompres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MjM0MDBjYmQ2OTY2ZTQ4YTliNThjN2EzM2UxNDgifQ=="/>
  </w:docVars>
  <w:rsids>
    <w:rsidRoot w:val="007A2EEF"/>
    <w:rsid w:val="001233D7"/>
    <w:rsid w:val="00270BE1"/>
    <w:rsid w:val="0028001C"/>
    <w:rsid w:val="0035240E"/>
    <w:rsid w:val="0038587E"/>
    <w:rsid w:val="003867C6"/>
    <w:rsid w:val="005F56AC"/>
    <w:rsid w:val="00665BAD"/>
    <w:rsid w:val="007A2EEF"/>
    <w:rsid w:val="008C6F9A"/>
    <w:rsid w:val="00907BBF"/>
    <w:rsid w:val="009D6BFE"/>
    <w:rsid w:val="00CA16EA"/>
    <w:rsid w:val="00EC50FD"/>
    <w:rsid w:val="00F9723E"/>
    <w:rsid w:val="01691A16"/>
    <w:rsid w:val="01B85F94"/>
    <w:rsid w:val="01DD59FB"/>
    <w:rsid w:val="029D1A04"/>
    <w:rsid w:val="02AA15CD"/>
    <w:rsid w:val="032B375B"/>
    <w:rsid w:val="03822237"/>
    <w:rsid w:val="03B04719"/>
    <w:rsid w:val="03CE5F43"/>
    <w:rsid w:val="03D55BD9"/>
    <w:rsid w:val="04D754BC"/>
    <w:rsid w:val="05BC1993"/>
    <w:rsid w:val="06E55C44"/>
    <w:rsid w:val="076C043D"/>
    <w:rsid w:val="077251A3"/>
    <w:rsid w:val="07A46156"/>
    <w:rsid w:val="084A2544"/>
    <w:rsid w:val="08AC2EDD"/>
    <w:rsid w:val="08BE37CC"/>
    <w:rsid w:val="08DF0B3D"/>
    <w:rsid w:val="099E1F14"/>
    <w:rsid w:val="09D75426"/>
    <w:rsid w:val="0A9E6890"/>
    <w:rsid w:val="0B52745A"/>
    <w:rsid w:val="0C6A432F"/>
    <w:rsid w:val="0C725B56"/>
    <w:rsid w:val="0C8E44C1"/>
    <w:rsid w:val="0CFB767D"/>
    <w:rsid w:val="0D904269"/>
    <w:rsid w:val="0DB02216"/>
    <w:rsid w:val="0DDD72C7"/>
    <w:rsid w:val="0DE93979"/>
    <w:rsid w:val="0E1E3623"/>
    <w:rsid w:val="0E3969D8"/>
    <w:rsid w:val="0F036722"/>
    <w:rsid w:val="0F735BF1"/>
    <w:rsid w:val="0FDA5C70"/>
    <w:rsid w:val="10054DA7"/>
    <w:rsid w:val="11131AAF"/>
    <w:rsid w:val="113504F7"/>
    <w:rsid w:val="116B365C"/>
    <w:rsid w:val="119A06A2"/>
    <w:rsid w:val="12AB3812"/>
    <w:rsid w:val="12DC64FA"/>
    <w:rsid w:val="13FA5EF4"/>
    <w:rsid w:val="14313AB6"/>
    <w:rsid w:val="15174525"/>
    <w:rsid w:val="1537321C"/>
    <w:rsid w:val="15DB743E"/>
    <w:rsid w:val="15E769F0"/>
    <w:rsid w:val="16361726"/>
    <w:rsid w:val="169072A3"/>
    <w:rsid w:val="180C5D0A"/>
    <w:rsid w:val="18185587"/>
    <w:rsid w:val="192F13FC"/>
    <w:rsid w:val="19750880"/>
    <w:rsid w:val="19921369"/>
    <w:rsid w:val="1A6745A4"/>
    <w:rsid w:val="1A9F066F"/>
    <w:rsid w:val="1B4072CF"/>
    <w:rsid w:val="1B632FBD"/>
    <w:rsid w:val="1C12605B"/>
    <w:rsid w:val="1C9D605B"/>
    <w:rsid w:val="1D7D50EB"/>
    <w:rsid w:val="1DD106B2"/>
    <w:rsid w:val="1DE36CC0"/>
    <w:rsid w:val="1EA90CE7"/>
    <w:rsid w:val="206C5445"/>
    <w:rsid w:val="21366A7E"/>
    <w:rsid w:val="237114CC"/>
    <w:rsid w:val="238507A2"/>
    <w:rsid w:val="23DC58D9"/>
    <w:rsid w:val="24C21928"/>
    <w:rsid w:val="25182615"/>
    <w:rsid w:val="25805630"/>
    <w:rsid w:val="25845C69"/>
    <w:rsid w:val="26296BB1"/>
    <w:rsid w:val="26A5448A"/>
    <w:rsid w:val="26E92DBB"/>
    <w:rsid w:val="270F5DA7"/>
    <w:rsid w:val="27334BD8"/>
    <w:rsid w:val="2761728D"/>
    <w:rsid w:val="279A1B15"/>
    <w:rsid w:val="27F2300A"/>
    <w:rsid w:val="28697739"/>
    <w:rsid w:val="28CD2CD7"/>
    <w:rsid w:val="28E15521"/>
    <w:rsid w:val="29057462"/>
    <w:rsid w:val="2A703001"/>
    <w:rsid w:val="2A84161B"/>
    <w:rsid w:val="2C300CD1"/>
    <w:rsid w:val="2C4B162F"/>
    <w:rsid w:val="2CAB494C"/>
    <w:rsid w:val="2CAB7921"/>
    <w:rsid w:val="2D5C5ABE"/>
    <w:rsid w:val="2D8A262B"/>
    <w:rsid w:val="2DB9142A"/>
    <w:rsid w:val="2DF301D1"/>
    <w:rsid w:val="2E690493"/>
    <w:rsid w:val="2E8B21B7"/>
    <w:rsid w:val="2E945AE0"/>
    <w:rsid w:val="2EC12331"/>
    <w:rsid w:val="2EF31F11"/>
    <w:rsid w:val="2FA84FEB"/>
    <w:rsid w:val="2FC11C09"/>
    <w:rsid w:val="2FFF0249"/>
    <w:rsid w:val="300B62BD"/>
    <w:rsid w:val="300D4258"/>
    <w:rsid w:val="303C1274"/>
    <w:rsid w:val="307A24E3"/>
    <w:rsid w:val="30DB52C0"/>
    <w:rsid w:val="317F3C36"/>
    <w:rsid w:val="33AC1B75"/>
    <w:rsid w:val="33C437DE"/>
    <w:rsid w:val="345D6B7A"/>
    <w:rsid w:val="34AA5361"/>
    <w:rsid w:val="34C53772"/>
    <w:rsid w:val="35F5677F"/>
    <w:rsid w:val="360D0596"/>
    <w:rsid w:val="36122745"/>
    <w:rsid w:val="36D32C16"/>
    <w:rsid w:val="3843006F"/>
    <w:rsid w:val="38B06316"/>
    <w:rsid w:val="39050DB8"/>
    <w:rsid w:val="39451D3A"/>
    <w:rsid w:val="3A744447"/>
    <w:rsid w:val="3B422129"/>
    <w:rsid w:val="3B533939"/>
    <w:rsid w:val="3BAC7C11"/>
    <w:rsid w:val="3C382151"/>
    <w:rsid w:val="3C496A1C"/>
    <w:rsid w:val="3C9618E6"/>
    <w:rsid w:val="3C9E62F2"/>
    <w:rsid w:val="3CA94508"/>
    <w:rsid w:val="3CCC2B7D"/>
    <w:rsid w:val="3CE90F7A"/>
    <w:rsid w:val="3D0D307C"/>
    <w:rsid w:val="3DA74B34"/>
    <w:rsid w:val="3DE23C97"/>
    <w:rsid w:val="3E304B29"/>
    <w:rsid w:val="3E6D4ECD"/>
    <w:rsid w:val="3ECB3B35"/>
    <w:rsid w:val="3EE004CF"/>
    <w:rsid w:val="3F946596"/>
    <w:rsid w:val="3FA255B3"/>
    <w:rsid w:val="407C7C6C"/>
    <w:rsid w:val="409D6291"/>
    <w:rsid w:val="411B55A4"/>
    <w:rsid w:val="41AC1E22"/>
    <w:rsid w:val="41F92C7C"/>
    <w:rsid w:val="4216154E"/>
    <w:rsid w:val="434877D8"/>
    <w:rsid w:val="43AD2D19"/>
    <w:rsid w:val="442671A9"/>
    <w:rsid w:val="443D5D13"/>
    <w:rsid w:val="4447741F"/>
    <w:rsid w:val="44AF71F4"/>
    <w:rsid w:val="44C10289"/>
    <w:rsid w:val="44FF7003"/>
    <w:rsid w:val="4537637C"/>
    <w:rsid w:val="4588349D"/>
    <w:rsid w:val="45C269AF"/>
    <w:rsid w:val="463905B1"/>
    <w:rsid w:val="46C6602A"/>
    <w:rsid w:val="46D47929"/>
    <w:rsid w:val="46D760FC"/>
    <w:rsid w:val="46EB0B22"/>
    <w:rsid w:val="46F96A11"/>
    <w:rsid w:val="47806F56"/>
    <w:rsid w:val="486F624E"/>
    <w:rsid w:val="488F0C66"/>
    <w:rsid w:val="48BB76E5"/>
    <w:rsid w:val="48CD0933"/>
    <w:rsid w:val="49863422"/>
    <w:rsid w:val="49D81BD6"/>
    <w:rsid w:val="4A7F4957"/>
    <w:rsid w:val="4BFA71E9"/>
    <w:rsid w:val="4C111CCC"/>
    <w:rsid w:val="4D0C5E0D"/>
    <w:rsid w:val="4D64034B"/>
    <w:rsid w:val="4FE85264"/>
    <w:rsid w:val="504B29FB"/>
    <w:rsid w:val="504D0B67"/>
    <w:rsid w:val="51363DAD"/>
    <w:rsid w:val="51711289"/>
    <w:rsid w:val="5189228F"/>
    <w:rsid w:val="518E7DF8"/>
    <w:rsid w:val="51D20777"/>
    <w:rsid w:val="524349D3"/>
    <w:rsid w:val="52637CA8"/>
    <w:rsid w:val="52BD3BF0"/>
    <w:rsid w:val="54885079"/>
    <w:rsid w:val="55110445"/>
    <w:rsid w:val="551322A2"/>
    <w:rsid w:val="554F7B33"/>
    <w:rsid w:val="5559450E"/>
    <w:rsid w:val="559E724D"/>
    <w:rsid w:val="55D63DB0"/>
    <w:rsid w:val="56040631"/>
    <w:rsid w:val="565A678F"/>
    <w:rsid w:val="572528F9"/>
    <w:rsid w:val="573A7DE4"/>
    <w:rsid w:val="57BA777E"/>
    <w:rsid w:val="58793E26"/>
    <w:rsid w:val="594669FB"/>
    <w:rsid w:val="59A84022"/>
    <w:rsid w:val="59CF1242"/>
    <w:rsid w:val="59D7690D"/>
    <w:rsid w:val="59FD7DBC"/>
    <w:rsid w:val="5A5D684E"/>
    <w:rsid w:val="5A603874"/>
    <w:rsid w:val="5A9A53AC"/>
    <w:rsid w:val="5AE825BC"/>
    <w:rsid w:val="5B9C643C"/>
    <w:rsid w:val="5BA93667"/>
    <w:rsid w:val="5BB11B5E"/>
    <w:rsid w:val="5C5733B5"/>
    <w:rsid w:val="5C5C4428"/>
    <w:rsid w:val="5C9B540C"/>
    <w:rsid w:val="5CB36BF9"/>
    <w:rsid w:val="5D0E6798"/>
    <w:rsid w:val="5DAF116F"/>
    <w:rsid w:val="5E4915C3"/>
    <w:rsid w:val="5E4A282F"/>
    <w:rsid w:val="5E6155FE"/>
    <w:rsid w:val="5EA901E5"/>
    <w:rsid w:val="5EF24446"/>
    <w:rsid w:val="5F903AF0"/>
    <w:rsid w:val="5FB94E23"/>
    <w:rsid w:val="608069CB"/>
    <w:rsid w:val="60935586"/>
    <w:rsid w:val="60F02BEA"/>
    <w:rsid w:val="619B229A"/>
    <w:rsid w:val="61EF26C5"/>
    <w:rsid w:val="62A50D92"/>
    <w:rsid w:val="62EA7456"/>
    <w:rsid w:val="642E17D7"/>
    <w:rsid w:val="645C7B76"/>
    <w:rsid w:val="647E4E3D"/>
    <w:rsid w:val="64BF74C3"/>
    <w:rsid w:val="64FE3585"/>
    <w:rsid w:val="65301C31"/>
    <w:rsid w:val="65580EF3"/>
    <w:rsid w:val="66FA4DE7"/>
    <w:rsid w:val="687F7DF0"/>
    <w:rsid w:val="6925245C"/>
    <w:rsid w:val="694B164C"/>
    <w:rsid w:val="69642A55"/>
    <w:rsid w:val="6B8D21A8"/>
    <w:rsid w:val="6BB87C0A"/>
    <w:rsid w:val="6BDB75D3"/>
    <w:rsid w:val="6C163A2B"/>
    <w:rsid w:val="6C6658B0"/>
    <w:rsid w:val="6CA91BEC"/>
    <w:rsid w:val="6CB25662"/>
    <w:rsid w:val="6CE60925"/>
    <w:rsid w:val="6D485F0B"/>
    <w:rsid w:val="6DA560EA"/>
    <w:rsid w:val="6DC839A7"/>
    <w:rsid w:val="6DF32115"/>
    <w:rsid w:val="6E414065"/>
    <w:rsid w:val="6EE669BA"/>
    <w:rsid w:val="6F251974"/>
    <w:rsid w:val="708F3550"/>
    <w:rsid w:val="717007BD"/>
    <w:rsid w:val="72275320"/>
    <w:rsid w:val="7365240C"/>
    <w:rsid w:val="737E150A"/>
    <w:rsid w:val="737F599B"/>
    <w:rsid w:val="73D47729"/>
    <w:rsid w:val="74051691"/>
    <w:rsid w:val="75F47C0F"/>
    <w:rsid w:val="76E6007C"/>
    <w:rsid w:val="7799185F"/>
    <w:rsid w:val="779D5A70"/>
    <w:rsid w:val="77DF669D"/>
    <w:rsid w:val="781A7FD5"/>
    <w:rsid w:val="785F314C"/>
    <w:rsid w:val="788259A6"/>
    <w:rsid w:val="78AC47D1"/>
    <w:rsid w:val="796B39F2"/>
    <w:rsid w:val="7A1F33D9"/>
    <w:rsid w:val="7A680BCB"/>
    <w:rsid w:val="7AB570D9"/>
    <w:rsid w:val="7AEB7713"/>
    <w:rsid w:val="7B073FEC"/>
    <w:rsid w:val="7B825019"/>
    <w:rsid w:val="7C72298D"/>
    <w:rsid w:val="7CED5941"/>
    <w:rsid w:val="7CF214EB"/>
    <w:rsid w:val="7D07647A"/>
    <w:rsid w:val="7D160FD2"/>
    <w:rsid w:val="7D32101D"/>
    <w:rsid w:val="7D5823F5"/>
    <w:rsid w:val="7D5C46C9"/>
    <w:rsid w:val="7D9903CF"/>
    <w:rsid w:val="7DA51185"/>
    <w:rsid w:val="7EE54599"/>
    <w:rsid w:val="7F6B48AC"/>
    <w:rsid w:val="7FBF30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kinsoku/>
      <w:autoSpaceDE/>
      <w:autoSpaceDN/>
      <w:adjustRightInd/>
      <w:snapToGrid/>
      <w:spacing w:before="100" w:beforeAutospacing="1" w:after="100" w:afterAutospacing="1"/>
      <w:textAlignment w:val="auto"/>
    </w:pPr>
    <w:rPr>
      <w:rFonts w:ascii="宋体" w:hAnsi="宋体" w:eastAsia="宋体" w:cs="Times New Roman"/>
      <w:snapToGrid/>
      <w:color w:val="auto"/>
      <w:sz w:val="24"/>
      <w:szCs w:val="24"/>
    </w:rPr>
  </w:style>
  <w:style w:type="table" w:customStyle="1" w:styleId="8">
    <w:name w:val="Table Normal"/>
    <w:unhideWhenUsed/>
    <w:qFormat/>
    <w:uiPriority w:val="0"/>
    <w:tblPr>
      <w:tblCellMar>
        <w:top w:w="0" w:type="dxa"/>
        <w:left w:w="0" w:type="dxa"/>
        <w:bottom w:w="0" w:type="dxa"/>
        <w:right w:w="0" w:type="dxa"/>
      </w:tblCellMar>
    </w:tblPr>
  </w:style>
  <w:style w:type="paragraph" w:customStyle="1" w:styleId="9">
    <w:name w:val="p0"/>
    <w:basedOn w:val="1"/>
    <w:qFormat/>
    <w:uiPriority w:val="0"/>
    <w:rPr>
      <w:rFonts w:ascii="Times New Roman" w:hAnsi="Times New Roman" w:eastAsia="宋体" w:cs="Times New Roman"/>
    </w:rPr>
  </w:style>
  <w:style w:type="character" w:customStyle="1" w:styleId="10">
    <w:name w:val="row_tree_level_4"/>
    <w:basedOn w:val="7"/>
    <w:qFormat/>
    <w:uiPriority w:val="0"/>
  </w:style>
  <w:style w:type="character" w:customStyle="1" w:styleId="11">
    <w:name w:val="批注框文本 Char"/>
    <w:basedOn w:val="7"/>
    <w:link w:val="2"/>
    <w:qFormat/>
    <w:uiPriority w:val="0"/>
    <w:rPr>
      <w:rFonts w:eastAsia="Arial"/>
      <w:snapToGrid w:val="0"/>
      <w:color w:val="000000"/>
      <w:sz w:val="18"/>
      <w:szCs w:val="18"/>
    </w:rPr>
  </w:style>
  <w:style w:type="character" w:customStyle="1" w:styleId="12">
    <w:name w:val="页脚 Char"/>
    <w:basedOn w:val="7"/>
    <w:link w:val="3"/>
    <w:qFormat/>
    <w:uiPriority w:val="99"/>
    <w:rPr>
      <w:rFonts w:eastAsia="Arial"/>
      <w:snapToGrid w:val="0"/>
      <w:color w:val="000000"/>
      <w:sz w:val="18"/>
      <w:szCs w:val="18"/>
    </w:rPr>
  </w:style>
  <w:style w:type="paragraph" w:customStyle="1" w:styleId="13">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5CC011-151F-49FC-B429-6C6AC0954EFC}">
  <ds:schemaRefs/>
</ds:datastoreItem>
</file>

<file path=docProps/app.xml><?xml version="1.0" encoding="utf-8"?>
<Properties xmlns="http://schemas.openxmlformats.org/officeDocument/2006/extended-properties" xmlns:vt="http://schemas.openxmlformats.org/officeDocument/2006/docPropsVTypes">
  <Template>Normal</Template>
  <Pages>9</Pages>
  <Words>3505</Words>
  <Characters>3798</Characters>
  <Lines>65</Lines>
  <Paragraphs>18</Paragraphs>
  <TotalTime>16</TotalTime>
  <ScaleCrop>false</ScaleCrop>
  <LinksUpToDate>false</LinksUpToDate>
  <CharactersWithSpaces>3841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2022-03-02T07:49:00Z</dcterms:created>
  <dc:creator>NOIR</dc:creator>
  <cp:lastModifiedBy>2020</cp:lastModifiedBy>
  <dcterms:modified xsi:type="dcterms:W3CDTF">2023-02-24T06:37:06Z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2022-02-28T10:39:59Z</vt:filetime>
  </property>
  <property fmtid="{D5CDD505-2E9C-101B-9397-08002B2CF9AE}" pid="4" name="KSOProductBuildVer">
    <vt:lpwstr>2052-11.1.0.13703</vt:lpwstr>
  </property>
  <property fmtid="{D5CDD505-2E9C-101B-9397-08002B2CF9AE}" pid="5" name="ICV">
    <vt:lpwstr>928526E8B08B4F1EA3D10A1DECF4353E</vt:lpwstr>
  </property>
</Properties>
</file>